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C608E" w:rsidRDefault="007C608E">
      <w:pPr>
        <w:ind w:right="567"/>
        <w:jc w:val="center"/>
      </w:pPr>
    </w:p>
    <w:p w:rsidR="00D63EAB" w:rsidRDefault="00D63EAB">
      <w:pPr>
        <w:ind w:right="567"/>
        <w:jc w:val="center"/>
      </w:pPr>
    </w:p>
    <w:p w:rsidR="00D63EAB" w:rsidRDefault="00D63EAB">
      <w:pPr>
        <w:ind w:right="567"/>
        <w:jc w:val="center"/>
      </w:pPr>
    </w:p>
    <w:p w:rsidR="00D63EAB" w:rsidRDefault="00D63EAB">
      <w:pPr>
        <w:ind w:right="567"/>
        <w:jc w:val="center"/>
      </w:pPr>
    </w:p>
    <w:p w:rsidR="00D63EAB" w:rsidRDefault="00D63EAB">
      <w:pPr>
        <w:ind w:right="567"/>
        <w:jc w:val="center"/>
      </w:pPr>
    </w:p>
    <w:p w:rsidR="00D63EAB" w:rsidRDefault="00D63EAB">
      <w:pPr>
        <w:ind w:right="567"/>
        <w:jc w:val="center"/>
      </w:pPr>
    </w:p>
    <w:p w:rsidR="00D63EAB" w:rsidRDefault="00D63EAB">
      <w:pPr>
        <w:ind w:right="567"/>
        <w:jc w:val="center"/>
      </w:pPr>
    </w:p>
    <w:p w:rsidR="0061301C" w:rsidRDefault="0061301C">
      <w:pPr>
        <w:ind w:right="567"/>
        <w:jc w:val="center"/>
      </w:pPr>
    </w:p>
    <w:p w:rsidR="0061301C" w:rsidRDefault="0061301C">
      <w:pPr>
        <w:ind w:right="567"/>
        <w:jc w:val="center"/>
      </w:pPr>
    </w:p>
    <w:p w:rsidR="0061301C" w:rsidRDefault="0061301C">
      <w:pPr>
        <w:ind w:right="567"/>
        <w:jc w:val="center"/>
      </w:pPr>
    </w:p>
    <w:p w:rsidR="0061301C" w:rsidRDefault="0061301C">
      <w:pPr>
        <w:ind w:right="567"/>
        <w:jc w:val="center"/>
      </w:pPr>
    </w:p>
    <w:p w:rsidR="0061301C" w:rsidRDefault="0061301C">
      <w:pPr>
        <w:ind w:right="567"/>
        <w:jc w:val="center"/>
      </w:pPr>
    </w:p>
    <w:p w:rsidR="0061301C" w:rsidRDefault="0061301C">
      <w:pPr>
        <w:ind w:right="567"/>
        <w:jc w:val="center"/>
      </w:pPr>
    </w:p>
    <w:p w:rsidR="0061301C" w:rsidRDefault="0061301C">
      <w:pPr>
        <w:ind w:right="567"/>
        <w:jc w:val="center"/>
      </w:pPr>
    </w:p>
    <w:p w:rsidR="00D303FD" w:rsidRDefault="00C0742D">
      <w:pPr>
        <w:ind w:right="567"/>
        <w:jc w:val="center"/>
      </w:pPr>
      <w:r>
        <w:t xml:space="preserve">     </w:t>
      </w:r>
    </w:p>
    <w:p w:rsidR="00D303FD" w:rsidRPr="007C608E" w:rsidRDefault="007C608E">
      <w:pPr>
        <w:ind w:right="567"/>
        <w:jc w:val="center"/>
        <w:rPr>
          <w:b/>
          <w:sz w:val="40"/>
          <w:szCs w:val="40"/>
        </w:rPr>
      </w:pPr>
      <w:r w:rsidRPr="007C608E">
        <w:rPr>
          <w:b/>
          <w:sz w:val="40"/>
          <w:szCs w:val="40"/>
        </w:rPr>
        <w:t xml:space="preserve">RELAZIONE TECNICA </w:t>
      </w:r>
      <w:r w:rsidR="00CD03F5">
        <w:rPr>
          <w:b/>
          <w:sz w:val="40"/>
          <w:szCs w:val="40"/>
        </w:rPr>
        <w:t xml:space="preserve">AL </w:t>
      </w:r>
      <w:r w:rsidRPr="007C608E">
        <w:rPr>
          <w:b/>
          <w:sz w:val="40"/>
          <w:szCs w:val="40"/>
        </w:rPr>
        <w:t>CONTO DEL BILANCIO 2011</w:t>
      </w: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D63EAB" w:rsidRDefault="00D63EAB" w:rsidP="00CD03F5">
      <w:pPr>
        <w:suppressAutoHyphens w:val="0"/>
        <w:spacing w:after="0" w:line="240" w:lineRule="auto"/>
        <w:jc w:val="center"/>
        <w:rPr>
          <w:color w:val="000000"/>
          <w:sz w:val="28"/>
          <w:szCs w:val="28"/>
        </w:rPr>
      </w:pPr>
    </w:p>
    <w:p w:rsidR="00D63EAB" w:rsidRDefault="00D63EAB" w:rsidP="00CD03F5">
      <w:pPr>
        <w:suppressAutoHyphens w:val="0"/>
        <w:spacing w:after="0" w:line="240" w:lineRule="auto"/>
        <w:jc w:val="center"/>
        <w:rPr>
          <w:color w:val="000000"/>
          <w:sz w:val="28"/>
          <w:szCs w:val="28"/>
        </w:rPr>
      </w:pPr>
    </w:p>
    <w:p w:rsidR="00D63EAB" w:rsidRDefault="00D63EAB" w:rsidP="00CD03F5">
      <w:pPr>
        <w:suppressAutoHyphens w:val="0"/>
        <w:spacing w:after="0" w:line="240" w:lineRule="auto"/>
        <w:jc w:val="center"/>
        <w:rPr>
          <w:color w:val="000000"/>
          <w:sz w:val="28"/>
          <w:szCs w:val="28"/>
        </w:rPr>
      </w:pPr>
    </w:p>
    <w:p w:rsidR="00D63EAB" w:rsidRDefault="00D63EAB" w:rsidP="00CD03F5">
      <w:pPr>
        <w:suppressAutoHyphens w:val="0"/>
        <w:spacing w:after="0" w:line="240" w:lineRule="auto"/>
        <w:jc w:val="center"/>
        <w:rPr>
          <w:color w:val="000000"/>
          <w:sz w:val="28"/>
          <w:szCs w:val="28"/>
        </w:rPr>
      </w:pPr>
    </w:p>
    <w:p w:rsidR="00D63EAB" w:rsidRDefault="00D63EAB" w:rsidP="00CD03F5">
      <w:pPr>
        <w:suppressAutoHyphens w:val="0"/>
        <w:spacing w:after="0" w:line="240" w:lineRule="auto"/>
        <w:jc w:val="center"/>
        <w:rPr>
          <w:color w:val="000000"/>
          <w:sz w:val="28"/>
          <w:szCs w:val="28"/>
        </w:rPr>
      </w:pPr>
    </w:p>
    <w:p w:rsidR="00D63EAB" w:rsidRDefault="00D63EAB" w:rsidP="00CD03F5">
      <w:pPr>
        <w:suppressAutoHyphens w:val="0"/>
        <w:spacing w:after="0" w:line="240" w:lineRule="auto"/>
        <w:jc w:val="center"/>
        <w:rPr>
          <w:color w:val="000000"/>
          <w:sz w:val="28"/>
          <w:szCs w:val="28"/>
        </w:rPr>
      </w:pPr>
    </w:p>
    <w:p w:rsidR="008922D7" w:rsidRDefault="008922D7" w:rsidP="008922D7">
      <w:pPr>
        <w:ind w:right="567"/>
        <w:jc w:val="center"/>
        <w:rPr>
          <w:b/>
          <w:sz w:val="24"/>
          <w:szCs w:val="24"/>
        </w:rPr>
      </w:pPr>
      <w:r w:rsidRPr="00D303FD">
        <w:rPr>
          <w:b/>
          <w:sz w:val="24"/>
          <w:szCs w:val="24"/>
        </w:rPr>
        <w:t>PREMESSA</w:t>
      </w:r>
    </w:p>
    <w:p w:rsidR="008922D7" w:rsidRPr="00B32282" w:rsidRDefault="008922D7" w:rsidP="008922D7">
      <w:pPr>
        <w:spacing w:line="360" w:lineRule="auto"/>
        <w:ind w:left="567" w:right="567" w:firstLine="708"/>
        <w:jc w:val="both"/>
        <w:rPr>
          <w:rFonts w:cs="Arial"/>
          <w:sz w:val="20"/>
          <w:szCs w:val="20"/>
        </w:rPr>
      </w:pPr>
      <w:r w:rsidRPr="00B32282">
        <w:rPr>
          <w:rFonts w:cs="Arial"/>
          <w:sz w:val="20"/>
          <w:szCs w:val="20"/>
        </w:rPr>
        <w:t>Il principio contabile n 3 per gli Enti Locali  titolato “il rendiconto degli enti locali”  fa risalire  alla Costituzione la funzione di rendicontazione degli stessi, richiamando  sia  l’art.  114 che definisce gli enti locali  quali enti autonomi con propri statuti, poteri e funzioni secondo i principi costituzionali, che con l’art. 119 che assegna a questi enti autonomia finanziaria. Rileva sempre il principio contabile n 3 che autonomia  comporta responsabilità verso il cittadino contribuente e utente allo stesso tempo dei servizi resi dall’Ente locale e che il rendiconto costituisce elemento indispensabile di tale rapporto. L’evoluzione della normativa in atto, sia dal punto di vista del federalismo fiscale, che per quanto riguarda il codice delle autonomie rafforza il ruolo che il “rendere conto” alla cittadinanza del processo politico amministrativo di chi eletto,  e quindi preposto alla gestione della amministrazione pubblica, iniziato con la presentazione delle linee programmatiche, con il bilancio di previsione e la Relazione Previsionale e programmatica si sia concluso con la gestione ottimale delle risorse e il raggiungimento degli obiettivi prefissati con un risultato finanziario patrimoniale ma anche sociale.</w:t>
      </w:r>
    </w:p>
    <w:p w:rsidR="008922D7" w:rsidRPr="00B32282" w:rsidRDefault="008922D7" w:rsidP="008922D7">
      <w:pPr>
        <w:spacing w:line="360" w:lineRule="auto"/>
        <w:ind w:left="567" w:right="567" w:firstLine="708"/>
        <w:jc w:val="both"/>
        <w:rPr>
          <w:rFonts w:cs="Arial"/>
          <w:sz w:val="20"/>
          <w:szCs w:val="20"/>
        </w:rPr>
      </w:pPr>
      <w:r w:rsidRPr="00B32282">
        <w:rPr>
          <w:rFonts w:cs="Arial"/>
          <w:sz w:val="20"/>
          <w:szCs w:val="20"/>
        </w:rPr>
        <w:t>Sotto il profilo politico-amministrativo, inoltre, il rendiconto consente l’esercizio del controllo che il Consiglio dell’Ente esercita sulla Giunta quale organo esecutivo, nell’esercizio delle prerogative di indirizzo e di controllo politico-amministrativo attribuite dall’ordinamento al Consiglio.</w:t>
      </w:r>
    </w:p>
    <w:p w:rsidR="008922D7" w:rsidRPr="00B32282" w:rsidRDefault="008922D7" w:rsidP="008922D7">
      <w:pPr>
        <w:spacing w:line="360" w:lineRule="auto"/>
        <w:ind w:left="567" w:right="567" w:firstLine="708"/>
        <w:jc w:val="both"/>
        <w:rPr>
          <w:rFonts w:cs="Arial"/>
          <w:sz w:val="20"/>
          <w:szCs w:val="20"/>
        </w:rPr>
      </w:pPr>
      <w:r w:rsidRPr="00B32282">
        <w:rPr>
          <w:rFonts w:cs="Arial"/>
          <w:sz w:val="20"/>
          <w:szCs w:val="20"/>
        </w:rPr>
        <w:t xml:space="preserve">L’approvazione del rendiconto è regolamentata dal testo unico delle leggi sull’ordinamento degli enti locali il quale all’art. 42 inserisce l’approvazione dello stesso tra  gli atti fondamentali di competenza del Consiglio,  all’art. 151, comma 5 indica che i risultati di gestione sono rilevati anche mediante contabilità economica e dimostrati nel rendiconto comprendente il conto del bilancio e il conto del patrimonio, e al comma 6 del citato art. 151 prevede che al rendiconto sia allegata una relazione illustrative della giunta esecutiva </w:t>
      </w:r>
    </w:p>
    <w:p w:rsidR="008922D7" w:rsidRPr="00B32282" w:rsidRDefault="008922D7" w:rsidP="008922D7">
      <w:pPr>
        <w:spacing w:line="360" w:lineRule="auto"/>
        <w:ind w:left="567" w:right="567" w:firstLine="708"/>
        <w:jc w:val="both"/>
        <w:rPr>
          <w:rFonts w:cs="Arial"/>
          <w:sz w:val="20"/>
          <w:szCs w:val="20"/>
        </w:rPr>
      </w:pPr>
      <w:r w:rsidRPr="00B32282">
        <w:rPr>
          <w:rFonts w:cs="Arial"/>
          <w:sz w:val="20"/>
          <w:szCs w:val="20"/>
        </w:rPr>
        <w:t>Il medesimo testo unico all’art. 231 indica che  “ Nella relazione prescritta dall’articolo 151, comma 6, l’organo esecutivo dell’ente esprime le valutazioni di efficacia dell’azione condotta sulla base dei risultati conseguiti in rapporto  ai programmi ed ai costi sostenuti. Evidenzia anche i criteri di valutazione del patrimonio e delle componenti economiche. Analizza, inoltre, gli scostamenti principali intervenuti rispetto alle previsioni, motivando le cause  che li hanno determinati”.</w:t>
      </w:r>
    </w:p>
    <w:p w:rsidR="008922D7" w:rsidRPr="00B32282" w:rsidRDefault="008922D7" w:rsidP="008922D7">
      <w:pPr>
        <w:spacing w:line="360" w:lineRule="auto"/>
        <w:ind w:left="567" w:right="567" w:firstLine="708"/>
        <w:jc w:val="both"/>
        <w:rPr>
          <w:rFonts w:cs="Arial"/>
          <w:sz w:val="20"/>
          <w:szCs w:val="20"/>
        </w:rPr>
      </w:pPr>
      <w:r w:rsidRPr="00B32282">
        <w:rPr>
          <w:rFonts w:cs="Arial"/>
          <w:sz w:val="20"/>
          <w:szCs w:val="20"/>
        </w:rPr>
        <w:t xml:space="preserve">La lettura  di questo articolo evidenzia come l’analisi non può limitarsi al solo dato numerico – finanziario, ma al contrario deve estendersi anche a quello patrimoniale ed economico, che assume nel tempo sempre più rilevanza. </w:t>
      </w:r>
    </w:p>
    <w:p w:rsidR="008922D7" w:rsidRDefault="008922D7" w:rsidP="008922D7">
      <w:pPr>
        <w:autoSpaceDE w:val="0"/>
        <w:spacing w:line="360" w:lineRule="auto"/>
        <w:ind w:left="567" w:right="567" w:firstLine="424"/>
        <w:jc w:val="both"/>
        <w:rPr>
          <w:rFonts w:cs="Arial"/>
          <w:sz w:val="20"/>
          <w:szCs w:val="20"/>
        </w:rPr>
      </w:pPr>
      <w:r w:rsidRPr="00B32282">
        <w:rPr>
          <w:rFonts w:cs="Arial"/>
          <w:sz w:val="20"/>
          <w:szCs w:val="20"/>
        </w:rPr>
        <w:t>Tra i documenti richiesti dal legislatore per sintetizzare l'attività posta in essere, il "conto del bilancio" è quello che ha la funzione specifica di rappresentare sinteticamente le risultanze della gestione, ponendo a confronto i dati di previsione, eventualmente modificati e integrati a seguito di variazioni intervenute nel corso dell'anno, con quelli derivanti dalle scritture contabili tenute nel corso dell'esercizio.</w:t>
      </w:r>
    </w:p>
    <w:p w:rsidR="00D63EAB" w:rsidRPr="00B32282" w:rsidRDefault="00D63EAB" w:rsidP="008922D7">
      <w:pPr>
        <w:autoSpaceDE w:val="0"/>
        <w:spacing w:line="360" w:lineRule="auto"/>
        <w:ind w:left="567" w:right="567" w:firstLine="424"/>
        <w:jc w:val="both"/>
        <w:rPr>
          <w:rFonts w:cs="Arial"/>
          <w:sz w:val="20"/>
          <w:szCs w:val="20"/>
        </w:rPr>
      </w:pPr>
    </w:p>
    <w:p w:rsidR="002F032A" w:rsidRDefault="002F032A" w:rsidP="008922D7">
      <w:pPr>
        <w:autoSpaceDE w:val="0"/>
        <w:spacing w:line="360" w:lineRule="auto"/>
        <w:ind w:left="567" w:right="567" w:firstLine="424"/>
        <w:jc w:val="both"/>
        <w:rPr>
          <w:rFonts w:cs="Arial"/>
          <w:sz w:val="20"/>
          <w:szCs w:val="20"/>
        </w:rPr>
      </w:pPr>
    </w:p>
    <w:p w:rsidR="002F032A" w:rsidRDefault="002F032A" w:rsidP="008922D7">
      <w:pPr>
        <w:autoSpaceDE w:val="0"/>
        <w:spacing w:line="360" w:lineRule="auto"/>
        <w:ind w:left="567" w:right="567" w:firstLine="424"/>
        <w:jc w:val="both"/>
        <w:rPr>
          <w:rFonts w:cs="Arial"/>
          <w:sz w:val="20"/>
          <w:szCs w:val="20"/>
        </w:rPr>
      </w:pPr>
    </w:p>
    <w:p w:rsidR="008922D7" w:rsidRPr="00B32282" w:rsidRDefault="008922D7" w:rsidP="008922D7">
      <w:pPr>
        <w:autoSpaceDE w:val="0"/>
        <w:spacing w:line="360" w:lineRule="auto"/>
        <w:ind w:left="567" w:right="567" w:firstLine="424"/>
        <w:jc w:val="both"/>
        <w:rPr>
          <w:rFonts w:cs="Arial"/>
          <w:sz w:val="20"/>
          <w:szCs w:val="20"/>
        </w:rPr>
      </w:pPr>
      <w:r w:rsidRPr="00B32282">
        <w:rPr>
          <w:rFonts w:cs="Arial"/>
          <w:sz w:val="20"/>
          <w:szCs w:val="20"/>
        </w:rPr>
        <w:t>Questo documento  contiene  un insieme  di informazioni che interessano la gestione di competenza, quella di cassa, oltre a quella dei residui, giungendo ad un risultato di amministrazione in termini di avanzo o disavanzo.</w:t>
      </w:r>
    </w:p>
    <w:p w:rsidR="008922D7" w:rsidRPr="00B32282" w:rsidRDefault="008922D7" w:rsidP="008922D7">
      <w:pPr>
        <w:spacing w:line="360" w:lineRule="auto"/>
        <w:ind w:left="567" w:right="567"/>
        <w:jc w:val="both"/>
        <w:rPr>
          <w:rFonts w:cs="Arial"/>
          <w:sz w:val="20"/>
          <w:szCs w:val="20"/>
        </w:rPr>
      </w:pPr>
      <w:r w:rsidRPr="00B32282">
        <w:rPr>
          <w:rFonts w:cs="Arial"/>
          <w:sz w:val="20"/>
          <w:szCs w:val="20"/>
        </w:rPr>
        <w:t xml:space="preserve">      Al  documento finanziario  è accluso il prospetto di conciliazione, il quale avendo la funzione di operare un raccordo tra la contabilità finanziaria e quella economica, considera i dati finanziari della gestione corrente del conto del bilancio, per ottenere il risultato economico, e i dati finanziari della gestione in conto capitale per rilevare i relativi riferimenti al conto patrimoniale. Tale Prospetto inoltre evidenzia tutte le valutazioni di ordine economico e le rettifiche da operare secondo il principio della competenza economica. </w:t>
      </w:r>
    </w:p>
    <w:p w:rsidR="008922D7" w:rsidRPr="00B32282" w:rsidRDefault="008922D7" w:rsidP="008922D7">
      <w:pPr>
        <w:spacing w:line="360" w:lineRule="auto"/>
        <w:ind w:left="567" w:right="567"/>
        <w:jc w:val="both"/>
        <w:rPr>
          <w:rFonts w:cs="Arial"/>
          <w:sz w:val="20"/>
          <w:szCs w:val="20"/>
        </w:rPr>
      </w:pPr>
      <w:r w:rsidRPr="00B32282">
        <w:rPr>
          <w:rFonts w:cs="Arial"/>
          <w:sz w:val="20"/>
          <w:szCs w:val="20"/>
        </w:rPr>
        <w:t xml:space="preserve">   Il conto economico riporta le componenti positive e negative dell’attività dell’Ente e il risultato economico finale, secondo criteri di competenza economica in termini di perdita o utile d’esercizio e quindi di incremento o decremento del patrimonio netto dell’Ente.</w:t>
      </w:r>
    </w:p>
    <w:p w:rsidR="008922D7" w:rsidRPr="00B32282" w:rsidRDefault="008922D7" w:rsidP="008922D7">
      <w:pPr>
        <w:spacing w:line="360" w:lineRule="auto"/>
        <w:ind w:left="567" w:right="567"/>
        <w:jc w:val="both"/>
        <w:rPr>
          <w:rFonts w:cs="Arial"/>
          <w:sz w:val="20"/>
          <w:szCs w:val="20"/>
        </w:rPr>
      </w:pPr>
      <w:r w:rsidRPr="00B32282">
        <w:rPr>
          <w:rFonts w:cs="Arial"/>
          <w:sz w:val="20"/>
          <w:szCs w:val="20"/>
        </w:rPr>
        <w:t xml:space="preserve">      Per quanto riguarda il conto del Patrimonio, esso rileva  i risultati della gestione patrimoniale e riassume la consistenza del patrimonio al termine dell’esercizio, evidenziando le variazioni intervenute, nello stesso esercizio, rispetto alla consistenza iniziale.</w:t>
      </w:r>
    </w:p>
    <w:p w:rsidR="008922D7" w:rsidRPr="00B32282" w:rsidRDefault="008922D7" w:rsidP="008922D7">
      <w:pPr>
        <w:spacing w:line="360" w:lineRule="auto"/>
        <w:ind w:left="567" w:right="567"/>
        <w:jc w:val="both"/>
        <w:rPr>
          <w:rFonts w:cs="Arial"/>
          <w:sz w:val="20"/>
          <w:szCs w:val="20"/>
        </w:rPr>
      </w:pPr>
      <w:r w:rsidRPr="00B32282">
        <w:rPr>
          <w:rFonts w:cs="Arial"/>
          <w:sz w:val="20"/>
          <w:szCs w:val="20"/>
        </w:rPr>
        <w:t xml:space="preserve">    Il testo unico prevedeva sino all’esercizio 2007 quale termine di approvazione del rendiconto la data del 30 giugno dell’esercizio successivo, e quale termine della resa del conto da parte del Tesoriere e degli agenti contabili a denaro e a materia due mesi dalla chiusura dell’esercizio finanziario. La legge 198/2008 ha previsto quale termine  per l’approvazione del rendiconto  la data del 30 aprile , anticipando contemporaneamente sia la data di resa del conto del Tesoriere, che degli agenti contabili a denaro e a materia al 30 gennaio. </w:t>
      </w:r>
    </w:p>
    <w:p w:rsidR="008922D7" w:rsidRPr="00B32282" w:rsidRDefault="008922D7" w:rsidP="008922D7">
      <w:pPr>
        <w:spacing w:line="360" w:lineRule="auto"/>
        <w:ind w:left="567" w:right="567"/>
        <w:jc w:val="both"/>
        <w:rPr>
          <w:sz w:val="20"/>
          <w:szCs w:val="20"/>
        </w:rPr>
      </w:pPr>
    </w:p>
    <w:p w:rsidR="008922D7" w:rsidRPr="00B32282" w:rsidRDefault="008922D7" w:rsidP="008922D7">
      <w:pPr>
        <w:spacing w:line="360" w:lineRule="auto"/>
        <w:ind w:left="567" w:right="567"/>
        <w:jc w:val="both"/>
        <w:rPr>
          <w:sz w:val="20"/>
          <w:szCs w:val="20"/>
        </w:rPr>
      </w:pPr>
    </w:p>
    <w:p w:rsidR="008922D7" w:rsidRPr="00B32282" w:rsidRDefault="008922D7" w:rsidP="008922D7">
      <w:pPr>
        <w:jc w:val="center"/>
        <w:rPr>
          <w:sz w:val="20"/>
          <w:szCs w:val="20"/>
        </w:rPr>
      </w:pPr>
    </w:p>
    <w:p w:rsidR="008922D7" w:rsidRPr="00B32282" w:rsidRDefault="008922D7" w:rsidP="008922D7">
      <w:pPr>
        <w:jc w:val="center"/>
        <w:rPr>
          <w:sz w:val="20"/>
          <w:szCs w:val="20"/>
        </w:rPr>
      </w:pPr>
    </w:p>
    <w:p w:rsidR="008922D7" w:rsidRPr="00B32282" w:rsidRDefault="008922D7" w:rsidP="008922D7">
      <w:pPr>
        <w:jc w:val="center"/>
        <w:rPr>
          <w:sz w:val="20"/>
          <w:szCs w:val="20"/>
        </w:rPr>
      </w:pPr>
    </w:p>
    <w:p w:rsidR="008922D7" w:rsidRPr="00B32282" w:rsidRDefault="008922D7" w:rsidP="008922D7">
      <w:pPr>
        <w:jc w:val="center"/>
        <w:rPr>
          <w:sz w:val="20"/>
          <w:szCs w:val="20"/>
        </w:rPr>
      </w:pPr>
    </w:p>
    <w:p w:rsidR="008922D7" w:rsidRPr="00B32282" w:rsidRDefault="008922D7" w:rsidP="008922D7">
      <w:pPr>
        <w:jc w:val="center"/>
        <w:rPr>
          <w:sz w:val="20"/>
          <w:szCs w:val="20"/>
        </w:rPr>
      </w:pPr>
    </w:p>
    <w:p w:rsidR="008922D7" w:rsidRDefault="008922D7" w:rsidP="008922D7">
      <w:pPr>
        <w:jc w:val="center"/>
      </w:pPr>
    </w:p>
    <w:p w:rsidR="008922D7" w:rsidRDefault="008922D7" w:rsidP="008922D7">
      <w:pPr>
        <w:jc w:val="center"/>
      </w:pPr>
    </w:p>
    <w:p w:rsidR="008922D7" w:rsidRDefault="008922D7" w:rsidP="008922D7">
      <w:pPr>
        <w:jc w:val="center"/>
      </w:pPr>
    </w:p>
    <w:p w:rsidR="008922D7" w:rsidRDefault="008922D7" w:rsidP="008922D7">
      <w:pPr>
        <w:jc w:val="center"/>
      </w:pPr>
    </w:p>
    <w:p w:rsidR="008922D7" w:rsidRDefault="008922D7" w:rsidP="008922D7">
      <w:pPr>
        <w:jc w:val="center"/>
      </w:pPr>
    </w:p>
    <w:p w:rsidR="008922D7" w:rsidRDefault="008922D7" w:rsidP="008922D7">
      <w:pPr>
        <w:jc w:val="center"/>
      </w:pPr>
    </w:p>
    <w:p w:rsidR="008922D7" w:rsidRDefault="008922D7" w:rsidP="008922D7">
      <w:pPr>
        <w:jc w:val="center"/>
      </w:pPr>
    </w:p>
    <w:p w:rsidR="008922D7" w:rsidRDefault="008922D7" w:rsidP="008922D7">
      <w:pPr>
        <w:jc w:val="center"/>
      </w:pPr>
    </w:p>
    <w:p w:rsidR="008922D7" w:rsidRPr="00D303FD" w:rsidRDefault="008922D7" w:rsidP="008922D7">
      <w:pPr>
        <w:jc w:val="center"/>
        <w:rPr>
          <w:b/>
          <w:sz w:val="24"/>
          <w:szCs w:val="24"/>
        </w:rPr>
      </w:pPr>
      <w:r w:rsidRPr="00D303FD">
        <w:rPr>
          <w:b/>
          <w:sz w:val="24"/>
          <w:szCs w:val="24"/>
        </w:rPr>
        <w:t xml:space="preserve">Gestione della Competenza per l'esercizio </w:t>
      </w:r>
      <w:r>
        <w:rPr>
          <w:b/>
          <w:sz w:val="24"/>
          <w:szCs w:val="24"/>
        </w:rPr>
        <w:t>2011</w:t>
      </w:r>
    </w:p>
    <w:p w:rsidR="008922D7" w:rsidRPr="00CE71A5" w:rsidRDefault="008922D7" w:rsidP="008922D7">
      <w:pPr>
        <w:spacing w:line="360" w:lineRule="auto"/>
        <w:jc w:val="both"/>
        <w:rPr>
          <w:sz w:val="20"/>
          <w:szCs w:val="20"/>
        </w:rPr>
      </w:pPr>
      <w:r>
        <w:tab/>
      </w:r>
      <w:r w:rsidRPr="000221E0">
        <w:rPr>
          <w:sz w:val="20"/>
          <w:szCs w:val="20"/>
        </w:rPr>
        <w:t xml:space="preserve">Per quanto riguarda l’esercizio 2011 la gestione del bilancio, approvato con deliberazione del Consiglio Provinciale </w:t>
      </w:r>
      <w:r w:rsidRPr="00CE71A5">
        <w:rPr>
          <w:sz w:val="20"/>
          <w:szCs w:val="20"/>
        </w:rPr>
        <w:t xml:space="preserve">n 20 del 07 giugno 2011 si è svolta in maniera regolare anche se vi è stato un periodo abbastanza lungo di  </w:t>
      </w:r>
      <w:proofErr w:type="spellStart"/>
      <w:r w:rsidRPr="00CE71A5">
        <w:rPr>
          <w:sz w:val="20"/>
          <w:szCs w:val="20"/>
        </w:rPr>
        <w:t>di</w:t>
      </w:r>
      <w:proofErr w:type="spellEnd"/>
      <w:r w:rsidRPr="00CE71A5">
        <w:rPr>
          <w:sz w:val="20"/>
          <w:szCs w:val="20"/>
        </w:rPr>
        <w:t xml:space="preserve">  difficoltà operativa causata dal regime di esercizio provvisorio  di cui all’art. 163 del D. </w:t>
      </w:r>
      <w:proofErr w:type="spellStart"/>
      <w:r w:rsidRPr="00CE71A5">
        <w:rPr>
          <w:sz w:val="20"/>
          <w:szCs w:val="20"/>
        </w:rPr>
        <w:t>Legs</w:t>
      </w:r>
      <w:proofErr w:type="spellEnd"/>
      <w:r w:rsidRPr="00CE71A5">
        <w:rPr>
          <w:sz w:val="20"/>
          <w:szCs w:val="20"/>
        </w:rPr>
        <w:t>. N. 267/2000.  Il bilancio di previsione è stato comunque approvato entro i termini di legge visto che anche per l'esercizio 2011 vi è stato  rinvio  del termine per l’approvazione del bilancio preventivo  differito al 31 agosto con decreto  del Ministro dell'interno del 30 giugno 2011.</w:t>
      </w:r>
    </w:p>
    <w:p w:rsidR="008922D7" w:rsidRPr="000221E0" w:rsidRDefault="008922D7" w:rsidP="008922D7">
      <w:pPr>
        <w:spacing w:line="360" w:lineRule="auto"/>
        <w:jc w:val="both"/>
        <w:rPr>
          <w:sz w:val="20"/>
          <w:szCs w:val="20"/>
        </w:rPr>
      </w:pPr>
      <w:r w:rsidRPr="000221E0">
        <w:rPr>
          <w:sz w:val="20"/>
          <w:szCs w:val="20"/>
        </w:rPr>
        <w:t xml:space="preserve">Il bilancio per l’anno 2011 approvato dal Consiglio Provinciale con  il pareggio finanziario in entrata e spesa per un totale di   </w:t>
      </w:r>
      <w:r w:rsidRPr="000221E0">
        <w:rPr>
          <w:b/>
          <w:sz w:val="20"/>
          <w:szCs w:val="20"/>
        </w:rPr>
        <w:t xml:space="preserve">€ </w:t>
      </w:r>
      <w:r w:rsidRPr="000221E0">
        <w:rPr>
          <w:sz w:val="20"/>
          <w:szCs w:val="20"/>
        </w:rPr>
        <w:t xml:space="preserve"> </w:t>
      </w:r>
      <w:r w:rsidRPr="000221E0">
        <w:rPr>
          <w:b/>
          <w:sz w:val="20"/>
          <w:szCs w:val="20"/>
        </w:rPr>
        <w:t xml:space="preserve">47.940.477,94 </w:t>
      </w:r>
      <w:r w:rsidRPr="000221E0">
        <w:rPr>
          <w:sz w:val="20"/>
          <w:szCs w:val="20"/>
        </w:rPr>
        <w:t>risulta  così composto:</w:t>
      </w:r>
    </w:p>
    <w:p w:rsidR="008922D7" w:rsidRPr="00D303FD" w:rsidRDefault="008922D7" w:rsidP="008922D7">
      <w:pPr>
        <w:spacing w:line="240" w:lineRule="auto"/>
        <w:jc w:val="center"/>
        <w:rPr>
          <w:b/>
          <w:sz w:val="20"/>
          <w:szCs w:val="20"/>
        </w:rPr>
      </w:pPr>
      <w:r w:rsidRPr="00D303FD">
        <w:rPr>
          <w:b/>
          <w:sz w:val="20"/>
          <w:szCs w:val="20"/>
        </w:rPr>
        <w:t xml:space="preserve">QUADRO RIASSUNTIVO GENERALE BILANCIO PREVISIONE </w:t>
      </w:r>
      <w:r>
        <w:rPr>
          <w:b/>
          <w:sz w:val="20"/>
          <w:szCs w:val="20"/>
        </w:rPr>
        <w:t>2011</w:t>
      </w:r>
    </w:p>
    <w:tbl>
      <w:tblPr>
        <w:tblW w:w="18104" w:type="dxa"/>
        <w:tblInd w:w="55" w:type="dxa"/>
        <w:tblLayout w:type="fixed"/>
        <w:tblCellMar>
          <w:left w:w="70" w:type="dxa"/>
          <w:right w:w="70" w:type="dxa"/>
        </w:tblCellMar>
        <w:tblLook w:val="0000"/>
      </w:tblPr>
      <w:tblGrid>
        <w:gridCol w:w="265"/>
        <w:gridCol w:w="680"/>
        <w:gridCol w:w="2325"/>
        <w:gridCol w:w="741"/>
        <w:gridCol w:w="824"/>
        <w:gridCol w:w="871"/>
        <w:gridCol w:w="2349"/>
        <w:gridCol w:w="729"/>
        <w:gridCol w:w="729"/>
        <w:gridCol w:w="271"/>
        <w:gridCol w:w="2260"/>
        <w:gridCol w:w="710"/>
        <w:gridCol w:w="710"/>
        <w:gridCol w:w="934"/>
        <w:gridCol w:w="2286"/>
        <w:gridCol w:w="710"/>
        <w:gridCol w:w="710"/>
      </w:tblGrid>
      <w:tr w:rsidR="008922D7" w:rsidTr="00D63EAB">
        <w:trPr>
          <w:gridBefore w:val="1"/>
          <w:gridAfter w:val="8"/>
          <w:wBefore w:w="265" w:type="dxa"/>
          <w:wAfter w:w="8591" w:type="dxa"/>
          <w:trHeight w:val="284"/>
        </w:trPr>
        <w:tc>
          <w:tcPr>
            <w:tcW w:w="680"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p>
        </w:tc>
        <w:tc>
          <w:tcPr>
            <w:tcW w:w="2325"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r>
              <w:rPr>
                <w:rFonts w:ascii="Arial" w:eastAsia="Times New Roman" w:hAnsi="Arial" w:cs="Arial"/>
                <w:sz w:val="18"/>
                <w:szCs w:val="18"/>
              </w:rPr>
              <w:t> </w:t>
            </w:r>
          </w:p>
        </w:tc>
        <w:tc>
          <w:tcPr>
            <w:tcW w:w="741"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r>
              <w:rPr>
                <w:rFonts w:ascii="Arial" w:eastAsia="Times New Roman" w:hAnsi="Arial" w:cs="Arial"/>
                <w:sz w:val="18"/>
                <w:szCs w:val="18"/>
              </w:rPr>
              <w:t> </w:t>
            </w:r>
          </w:p>
        </w:tc>
        <w:tc>
          <w:tcPr>
            <w:tcW w:w="824"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r>
              <w:rPr>
                <w:rFonts w:ascii="Arial" w:eastAsia="Times New Roman" w:hAnsi="Arial" w:cs="Arial"/>
                <w:sz w:val="18"/>
                <w:szCs w:val="18"/>
              </w:rPr>
              <w:t> </w:t>
            </w:r>
          </w:p>
        </w:tc>
        <w:tc>
          <w:tcPr>
            <w:tcW w:w="871"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r>
              <w:rPr>
                <w:rFonts w:ascii="Arial" w:eastAsia="Times New Roman" w:hAnsi="Arial" w:cs="Arial"/>
                <w:sz w:val="18"/>
                <w:szCs w:val="18"/>
              </w:rPr>
              <w:t> </w:t>
            </w:r>
          </w:p>
        </w:tc>
        <w:tc>
          <w:tcPr>
            <w:tcW w:w="2349"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r>
              <w:rPr>
                <w:rFonts w:ascii="Arial" w:eastAsia="Times New Roman" w:hAnsi="Arial" w:cs="Arial"/>
                <w:sz w:val="18"/>
                <w:szCs w:val="18"/>
              </w:rPr>
              <w:t> </w:t>
            </w:r>
          </w:p>
        </w:tc>
        <w:tc>
          <w:tcPr>
            <w:tcW w:w="729"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r>
              <w:rPr>
                <w:rFonts w:ascii="Arial" w:eastAsia="Times New Roman" w:hAnsi="Arial" w:cs="Arial"/>
                <w:sz w:val="18"/>
                <w:szCs w:val="18"/>
              </w:rPr>
              <w:t> </w:t>
            </w:r>
          </w:p>
        </w:tc>
        <w:tc>
          <w:tcPr>
            <w:tcW w:w="729" w:type="dxa"/>
            <w:shd w:val="clear" w:color="auto" w:fill="auto"/>
            <w:vAlign w:val="bottom"/>
          </w:tcPr>
          <w:p w:rsidR="008922D7" w:rsidRDefault="008922D7" w:rsidP="00D63EAB">
            <w:pPr>
              <w:snapToGrid w:val="0"/>
              <w:spacing w:after="0" w:line="240" w:lineRule="auto"/>
              <w:rPr>
                <w:rFonts w:ascii="Arial" w:eastAsia="Times New Roman" w:hAnsi="Arial" w:cs="Arial"/>
                <w:sz w:val="18"/>
                <w:szCs w:val="18"/>
              </w:rPr>
            </w:pPr>
            <w:r>
              <w:rPr>
                <w:rFonts w:ascii="Arial" w:eastAsia="Times New Roman" w:hAnsi="Arial" w:cs="Arial"/>
                <w:sz w:val="18"/>
                <w:szCs w:val="18"/>
              </w:rPr>
              <w:t> </w:t>
            </w:r>
          </w:p>
        </w:tc>
      </w:tr>
      <w:tr w:rsidR="008922D7" w:rsidRPr="003074E5" w:rsidTr="00D63EAB">
        <w:tblPrEx>
          <w:tblLook w:val="04A0"/>
        </w:tblPrEx>
        <w:trPr>
          <w:trHeight w:val="255"/>
        </w:trPr>
        <w:tc>
          <w:tcPr>
            <w:tcW w:w="9784" w:type="dxa"/>
            <w:gridSpan w:val="10"/>
            <w:shd w:val="clear" w:color="auto" w:fill="auto"/>
            <w:noWrap/>
            <w:vAlign w:val="bottom"/>
          </w:tcPr>
          <w:tbl>
            <w:tblPr>
              <w:tblW w:w="9634" w:type="dxa"/>
              <w:tblLayout w:type="fixed"/>
              <w:tblCellMar>
                <w:left w:w="70" w:type="dxa"/>
                <w:right w:w="70" w:type="dxa"/>
              </w:tblCellMar>
              <w:tblLook w:val="04A0"/>
            </w:tblPr>
            <w:tblGrid>
              <w:gridCol w:w="987"/>
              <w:gridCol w:w="2325"/>
              <w:gridCol w:w="751"/>
              <w:gridCol w:w="754"/>
              <w:gridCol w:w="987"/>
              <w:gridCol w:w="2325"/>
              <w:gridCol w:w="751"/>
              <w:gridCol w:w="754"/>
            </w:tblGrid>
            <w:tr w:rsidR="008922D7" w:rsidRPr="003074E5" w:rsidTr="00D63EAB">
              <w:trPr>
                <w:trHeight w:val="525"/>
              </w:trPr>
              <w:tc>
                <w:tcPr>
                  <w:tcW w:w="3312" w:type="dxa"/>
                  <w:gridSpan w:val="2"/>
                  <w:tcBorders>
                    <w:top w:val="single" w:sz="4" w:space="0" w:color="auto"/>
                    <w:left w:val="single" w:sz="4" w:space="0" w:color="auto"/>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xml:space="preserve">           Entrate</w:t>
                  </w:r>
                </w:p>
              </w:tc>
              <w:tc>
                <w:tcPr>
                  <w:tcW w:w="1505" w:type="dxa"/>
                  <w:gridSpan w:val="2"/>
                  <w:tcBorders>
                    <w:top w:val="single" w:sz="4" w:space="0" w:color="auto"/>
                    <w:left w:val="nil"/>
                    <w:bottom w:val="single" w:sz="8" w:space="0" w:color="auto"/>
                    <w:right w:val="single" w:sz="8" w:space="0" w:color="000000"/>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Competenza</w:t>
                  </w:r>
                </w:p>
              </w:tc>
              <w:tc>
                <w:tcPr>
                  <w:tcW w:w="3312" w:type="dxa"/>
                  <w:gridSpan w:val="2"/>
                  <w:tcBorders>
                    <w:top w:val="single" w:sz="4" w:space="0" w:color="auto"/>
                    <w:left w:val="nil"/>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Spese</w:t>
                  </w:r>
                </w:p>
              </w:tc>
              <w:tc>
                <w:tcPr>
                  <w:tcW w:w="1505" w:type="dxa"/>
                  <w:gridSpan w:val="2"/>
                  <w:tcBorders>
                    <w:top w:val="single" w:sz="4" w:space="0" w:color="auto"/>
                    <w:left w:val="nil"/>
                    <w:bottom w:val="single" w:sz="8" w:space="0" w:color="auto"/>
                    <w:right w:val="single" w:sz="4" w:space="0" w:color="auto"/>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Competenza</w:t>
                  </w:r>
                </w:p>
              </w:tc>
            </w:tr>
            <w:tr w:rsidR="008922D7" w:rsidRPr="003074E5" w:rsidTr="00D63EAB">
              <w:trPr>
                <w:trHeight w:val="270"/>
              </w:trPr>
              <w:tc>
                <w:tcPr>
                  <w:tcW w:w="3312" w:type="dxa"/>
                  <w:gridSpan w:val="2"/>
                  <w:tcBorders>
                    <w:top w:val="single" w:sz="8" w:space="0" w:color="auto"/>
                    <w:left w:val="single" w:sz="4" w:space="0" w:color="auto"/>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1</w:t>
                  </w:r>
                </w:p>
              </w:tc>
              <w:tc>
                <w:tcPr>
                  <w:tcW w:w="1505" w:type="dxa"/>
                  <w:gridSpan w:val="2"/>
                  <w:tcBorders>
                    <w:top w:val="single" w:sz="8" w:space="0" w:color="auto"/>
                    <w:left w:val="nil"/>
                    <w:bottom w:val="single" w:sz="8" w:space="0" w:color="auto"/>
                    <w:right w:val="single" w:sz="8" w:space="0" w:color="000000"/>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2</w:t>
                  </w:r>
                </w:p>
              </w:tc>
              <w:tc>
                <w:tcPr>
                  <w:tcW w:w="3312" w:type="dxa"/>
                  <w:gridSpan w:val="2"/>
                  <w:tcBorders>
                    <w:top w:val="single" w:sz="8" w:space="0" w:color="auto"/>
                    <w:left w:val="nil"/>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3</w:t>
                  </w:r>
                </w:p>
              </w:tc>
              <w:tc>
                <w:tcPr>
                  <w:tcW w:w="1505" w:type="dxa"/>
                  <w:gridSpan w:val="2"/>
                  <w:tcBorders>
                    <w:top w:val="single" w:sz="8" w:space="0" w:color="auto"/>
                    <w:left w:val="nil"/>
                    <w:bottom w:val="single" w:sz="8" w:space="0" w:color="auto"/>
                    <w:right w:val="single" w:sz="4" w:space="0" w:color="auto"/>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4</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single" w:sz="8"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1</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Entrate Tributarie</w:t>
                  </w:r>
                </w:p>
              </w:tc>
              <w:tc>
                <w:tcPr>
                  <w:tcW w:w="1505" w:type="dxa"/>
                  <w:gridSpan w:val="2"/>
                  <w:tcBorders>
                    <w:top w:val="nil"/>
                    <w:left w:val="single" w:sz="8" w:space="0" w:color="auto"/>
                    <w:bottom w:val="nil"/>
                    <w:right w:val="single" w:sz="8" w:space="0" w:color="000000"/>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sz w:val="20"/>
                      <w:szCs w:val="20"/>
                      <w:lang w:eastAsia="it-IT"/>
                    </w:rPr>
                  </w:pPr>
                  <w:r w:rsidRPr="003074E5">
                    <w:rPr>
                      <w:rFonts w:eastAsia="Times New Roman" w:cs="Arial"/>
                      <w:sz w:val="20"/>
                      <w:szCs w:val="20"/>
                      <w:lang w:eastAsia="it-IT"/>
                    </w:rPr>
                    <w:t>9.</w:t>
                  </w:r>
                  <w:r>
                    <w:rPr>
                      <w:rFonts w:eastAsia="Times New Roman" w:cs="Arial"/>
                      <w:sz w:val="20"/>
                      <w:szCs w:val="20"/>
                      <w:lang w:eastAsia="it-IT"/>
                    </w:rPr>
                    <w:t>438.200,00</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1</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Spese Correnti</w:t>
                  </w:r>
                </w:p>
              </w:tc>
              <w:tc>
                <w:tcPr>
                  <w:tcW w:w="1505" w:type="dxa"/>
                  <w:gridSpan w:val="2"/>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sz w:val="20"/>
                      <w:szCs w:val="20"/>
                      <w:lang w:eastAsia="it-IT"/>
                    </w:rPr>
                  </w:pPr>
                  <w:r>
                    <w:rPr>
                      <w:rFonts w:eastAsia="Times New Roman" w:cs="Arial"/>
                      <w:sz w:val="20"/>
                      <w:szCs w:val="20"/>
                      <w:lang w:eastAsia="it-IT"/>
                    </w:rPr>
                    <w:t>29.973.965,98</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p>
              </w:tc>
              <w:tc>
                <w:tcPr>
                  <w:tcW w:w="751" w:type="dxa"/>
                  <w:tcBorders>
                    <w:top w:val="nil"/>
                    <w:left w:val="single" w:sz="8"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1305"/>
              </w:trPr>
              <w:tc>
                <w:tcPr>
                  <w:tcW w:w="987" w:type="dxa"/>
                  <w:tcBorders>
                    <w:top w:val="nil"/>
                    <w:left w:val="single" w:sz="4" w:space="0" w:color="auto"/>
                    <w:bottom w:val="nil"/>
                    <w:right w:val="nil"/>
                  </w:tcBorders>
                  <w:shd w:val="clear" w:color="auto" w:fill="auto"/>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 xml:space="preserve">Titolo </w:t>
                  </w:r>
                  <w:r w:rsidRPr="003074E5">
                    <w:rPr>
                      <w:rFonts w:eastAsia="Times New Roman" w:cs="Arial"/>
                      <w:sz w:val="20"/>
                      <w:szCs w:val="20"/>
                      <w:lang w:eastAsia="it-IT"/>
                    </w:rPr>
                    <w:t xml:space="preserve"> 2</w:t>
                  </w:r>
                </w:p>
              </w:tc>
              <w:tc>
                <w:tcPr>
                  <w:tcW w:w="2325" w:type="dxa"/>
                  <w:tcBorders>
                    <w:top w:val="nil"/>
                    <w:left w:val="nil"/>
                    <w:bottom w:val="nil"/>
                    <w:right w:val="nil"/>
                  </w:tcBorders>
                  <w:shd w:val="clear" w:color="auto" w:fill="auto"/>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Entrate derivanti da contributi e trasferimenti correnti dello Stato, della regione e di altri enti pubblici</w:t>
                  </w:r>
                </w:p>
              </w:tc>
              <w:tc>
                <w:tcPr>
                  <w:tcW w:w="1505" w:type="dxa"/>
                  <w:gridSpan w:val="2"/>
                  <w:tcBorders>
                    <w:top w:val="nil"/>
                    <w:left w:val="single" w:sz="8" w:space="0" w:color="auto"/>
                    <w:bottom w:val="nil"/>
                    <w:right w:val="single" w:sz="8" w:space="0" w:color="000000"/>
                  </w:tcBorders>
                  <w:shd w:val="clear" w:color="auto" w:fill="auto"/>
                  <w:noWrap/>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2</w:t>
                  </w:r>
                  <w:r>
                    <w:rPr>
                      <w:rFonts w:eastAsia="Times New Roman" w:cs="Arial"/>
                      <w:sz w:val="20"/>
                      <w:szCs w:val="20"/>
                      <w:lang w:eastAsia="it-IT"/>
                    </w:rPr>
                    <w:t>4.333.432,53</w:t>
                  </w:r>
                </w:p>
              </w:tc>
              <w:tc>
                <w:tcPr>
                  <w:tcW w:w="987" w:type="dxa"/>
                  <w:tcBorders>
                    <w:top w:val="nil"/>
                    <w:left w:val="nil"/>
                    <w:bottom w:val="nil"/>
                    <w:right w:val="nil"/>
                  </w:tcBorders>
                  <w:shd w:val="clear" w:color="auto" w:fill="auto"/>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 xml:space="preserve">Titolo </w:t>
                  </w:r>
                  <w:r w:rsidRPr="003074E5">
                    <w:rPr>
                      <w:rFonts w:eastAsia="Times New Roman" w:cs="Arial"/>
                      <w:sz w:val="20"/>
                      <w:szCs w:val="20"/>
                      <w:lang w:eastAsia="it-IT"/>
                    </w:rPr>
                    <w:t xml:space="preserve"> 2</w:t>
                  </w:r>
                </w:p>
              </w:tc>
              <w:tc>
                <w:tcPr>
                  <w:tcW w:w="2325" w:type="dxa"/>
                  <w:tcBorders>
                    <w:top w:val="nil"/>
                    <w:left w:val="nil"/>
                    <w:bottom w:val="nil"/>
                    <w:right w:val="single" w:sz="8" w:space="0" w:color="auto"/>
                  </w:tcBorders>
                  <w:shd w:val="clear" w:color="auto" w:fill="auto"/>
                  <w:noWrap/>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Spese in Conto Capitale</w:t>
                  </w:r>
                </w:p>
              </w:tc>
              <w:tc>
                <w:tcPr>
                  <w:tcW w:w="1505" w:type="dxa"/>
                  <w:gridSpan w:val="2"/>
                  <w:tcBorders>
                    <w:top w:val="nil"/>
                    <w:left w:val="nil"/>
                    <w:bottom w:val="nil"/>
                    <w:right w:val="single" w:sz="4" w:space="0" w:color="auto"/>
                  </w:tcBorders>
                  <w:shd w:val="clear" w:color="auto" w:fill="auto"/>
                  <w:noWrap/>
                </w:tcPr>
                <w:p w:rsidR="008922D7" w:rsidRPr="003074E5" w:rsidRDefault="008922D7" w:rsidP="00D63EAB">
                  <w:pPr>
                    <w:suppressAutoHyphens w:val="0"/>
                    <w:spacing w:after="0" w:line="240" w:lineRule="auto"/>
                    <w:jc w:val="right"/>
                    <w:rPr>
                      <w:rFonts w:eastAsia="Times New Roman" w:cs="Arial"/>
                      <w:sz w:val="20"/>
                      <w:szCs w:val="20"/>
                      <w:lang w:eastAsia="it-IT"/>
                    </w:rPr>
                  </w:pPr>
                  <w:r>
                    <w:rPr>
                      <w:rFonts w:eastAsia="Times New Roman" w:cs="Arial"/>
                      <w:sz w:val="20"/>
                      <w:szCs w:val="20"/>
                      <w:lang w:eastAsia="it-IT"/>
                    </w:rPr>
                    <w:t>10.923.844,96</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p>
              </w:tc>
              <w:tc>
                <w:tcPr>
                  <w:tcW w:w="751" w:type="dxa"/>
                  <w:tcBorders>
                    <w:top w:val="nil"/>
                    <w:left w:val="single" w:sz="8"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3</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Entrate Extratributarie</w:t>
                  </w:r>
                </w:p>
              </w:tc>
              <w:tc>
                <w:tcPr>
                  <w:tcW w:w="1505" w:type="dxa"/>
                  <w:gridSpan w:val="2"/>
                  <w:tcBorders>
                    <w:top w:val="nil"/>
                    <w:left w:val="single" w:sz="8" w:space="0" w:color="auto"/>
                    <w:bottom w:val="nil"/>
                    <w:right w:val="single" w:sz="8" w:space="0" w:color="000000"/>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sz w:val="20"/>
                      <w:szCs w:val="20"/>
                      <w:lang w:eastAsia="it-IT"/>
                    </w:rPr>
                  </w:pPr>
                  <w:r>
                    <w:rPr>
                      <w:rFonts w:eastAsia="Times New Roman" w:cs="Arial"/>
                      <w:sz w:val="20"/>
                      <w:szCs w:val="20"/>
                      <w:lang w:eastAsia="it-IT"/>
                    </w:rPr>
                    <w:t>716.908,00</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b/>
                      <w:bCs/>
                      <w:sz w:val="20"/>
                      <w:szCs w:val="20"/>
                      <w:lang w:eastAsia="it-IT"/>
                    </w:rPr>
                  </w:pPr>
                  <w:r w:rsidRPr="003074E5">
                    <w:rPr>
                      <w:rFonts w:eastAsia="Times New Roman" w:cs="Arial"/>
                      <w:b/>
                      <w:bCs/>
                      <w:sz w:val="20"/>
                      <w:szCs w:val="20"/>
                      <w:lang w:eastAsia="it-IT"/>
                    </w:rPr>
                    <w:t> </w:t>
                  </w:r>
                </w:p>
              </w:tc>
              <w:tc>
                <w:tcPr>
                  <w:tcW w:w="1505" w:type="dxa"/>
                  <w:gridSpan w:val="2"/>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b/>
                      <w:bCs/>
                      <w:sz w:val="20"/>
                      <w:szCs w:val="20"/>
                      <w:lang w:eastAsia="it-IT"/>
                    </w:rPr>
                  </w:pPr>
                  <w:r w:rsidRPr="003074E5">
                    <w:rPr>
                      <w:rFonts w:eastAsia="Times New Roman" w:cs="Arial"/>
                      <w:b/>
                      <w:bCs/>
                      <w:sz w:val="20"/>
                      <w:szCs w:val="20"/>
                      <w:lang w:eastAsia="it-IT"/>
                    </w:rPr>
                    <w:t> </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sz w:val="20"/>
                      <w:szCs w:val="20"/>
                      <w:lang w:eastAsia="it-IT"/>
                    </w:rPr>
                  </w:pPr>
                </w:p>
              </w:tc>
              <w:tc>
                <w:tcPr>
                  <w:tcW w:w="751" w:type="dxa"/>
                  <w:tcBorders>
                    <w:top w:val="nil"/>
                    <w:left w:val="single" w:sz="8"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1065"/>
              </w:trPr>
              <w:tc>
                <w:tcPr>
                  <w:tcW w:w="987" w:type="dxa"/>
                  <w:tcBorders>
                    <w:top w:val="nil"/>
                    <w:left w:val="single" w:sz="4" w:space="0" w:color="auto"/>
                    <w:bottom w:val="nil"/>
                    <w:right w:val="nil"/>
                  </w:tcBorders>
                  <w:shd w:val="clear" w:color="auto" w:fill="auto"/>
                  <w:noWrap/>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4</w:t>
                  </w:r>
                </w:p>
              </w:tc>
              <w:tc>
                <w:tcPr>
                  <w:tcW w:w="2325" w:type="dxa"/>
                  <w:tcBorders>
                    <w:top w:val="nil"/>
                    <w:left w:val="nil"/>
                    <w:bottom w:val="nil"/>
                    <w:right w:val="nil"/>
                  </w:tcBorders>
                  <w:shd w:val="clear" w:color="auto" w:fill="auto"/>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Entrate derivanti da alienazioni, da trasferimenti di capitale e da riscossioni di crediti</w:t>
                  </w:r>
                </w:p>
              </w:tc>
              <w:tc>
                <w:tcPr>
                  <w:tcW w:w="1505" w:type="dxa"/>
                  <w:gridSpan w:val="2"/>
                  <w:tcBorders>
                    <w:top w:val="nil"/>
                    <w:left w:val="single" w:sz="8" w:space="0" w:color="auto"/>
                    <w:bottom w:val="nil"/>
                    <w:right w:val="single" w:sz="8" w:space="0" w:color="000000"/>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sz w:val="20"/>
                      <w:szCs w:val="20"/>
                      <w:lang w:eastAsia="it-IT"/>
                    </w:rPr>
                  </w:pPr>
                  <w:r>
                    <w:rPr>
                      <w:rFonts w:eastAsia="Times New Roman" w:cs="Arial"/>
                      <w:sz w:val="20"/>
                      <w:szCs w:val="20"/>
                      <w:lang w:eastAsia="it-IT"/>
                    </w:rPr>
                    <w:t>8.531.937,41</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270"/>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p>
              </w:tc>
              <w:tc>
                <w:tcPr>
                  <w:tcW w:w="751" w:type="dxa"/>
                  <w:tcBorders>
                    <w:top w:val="nil"/>
                    <w:left w:val="single" w:sz="8" w:space="0" w:color="auto"/>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single" w:sz="8" w:space="0" w:color="auto"/>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single" w:sz="8" w:space="0" w:color="auto"/>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p>
              </w:tc>
              <w:tc>
                <w:tcPr>
                  <w:tcW w:w="751" w:type="dxa"/>
                  <w:tcBorders>
                    <w:top w:val="nil"/>
                    <w:left w:val="single" w:sz="8"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510"/>
              </w:trPr>
              <w:tc>
                <w:tcPr>
                  <w:tcW w:w="987" w:type="dxa"/>
                  <w:tcBorders>
                    <w:top w:val="nil"/>
                    <w:left w:val="single" w:sz="4" w:space="0" w:color="auto"/>
                    <w:bottom w:val="nil"/>
                    <w:right w:val="nil"/>
                  </w:tcBorders>
                  <w:shd w:val="clear" w:color="auto" w:fill="auto"/>
                  <w:noWrap/>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5</w:t>
                  </w:r>
                </w:p>
              </w:tc>
              <w:tc>
                <w:tcPr>
                  <w:tcW w:w="2325" w:type="dxa"/>
                  <w:tcBorders>
                    <w:top w:val="nil"/>
                    <w:left w:val="nil"/>
                    <w:bottom w:val="nil"/>
                    <w:right w:val="nil"/>
                  </w:tcBorders>
                  <w:shd w:val="clear" w:color="auto" w:fill="auto"/>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Entrate derivanti da accensioni di prestiti</w:t>
                  </w:r>
                </w:p>
              </w:tc>
              <w:tc>
                <w:tcPr>
                  <w:tcW w:w="1505" w:type="dxa"/>
                  <w:gridSpan w:val="2"/>
                  <w:tcBorders>
                    <w:top w:val="nil"/>
                    <w:left w:val="single" w:sz="8" w:space="0" w:color="auto"/>
                    <w:bottom w:val="nil"/>
                    <w:right w:val="single" w:sz="8" w:space="0" w:color="000000"/>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sz w:val="20"/>
                      <w:szCs w:val="20"/>
                      <w:lang w:eastAsia="it-IT"/>
                    </w:rPr>
                  </w:pPr>
                  <w:r>
                    <w:rPr>
                      <w:rFonts w:eastAsia="Times New Roman" w:cs="Arial"/>
                      <w:sz w:val="20"/>
                      <w:szCs w:val="20"/>
                      <w:lang w:eastAsia="it-IT"/>
                    </w:rPr>
                    <w:t>0,00</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3</w:t>
                  </w:r>
                </w:p>
              </w:tc>
              <w:tc>
                <w:tcPr>
                  <w:tcW w:w="2325" w:type="dxa"/>
                  <w:tcBorders>
                    <w:top w:val="nil"/>
                    <w:left w:val="nil"/>
                    <w:bottom w:val="nil"/>
                    <w:right w:val="single" w:sz="8" w:space="0" w:color="auto"/>
                  </w:tcBorders>
                  <w:shd w:val="clear" w:color="auto" w:fill="auto"/>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Spese per Rimborso di Prestiti</w:t>
                  </w:r>
                </w:p>
              </w:tc>
              <w:tc>
                <w:tcPr>
                  <w:tcW w:w="1505" w:type="dxa"/>
                  <w:gridSpan w:val="2"/>
                  <w:tcBorders>
                    <w:top w:val="nil"/>
                    <w:left w:val="nil"/>
                    <w:bottom w:val="nil"/>
                    <w:right w:val="single" w:sz="4" w:space="0" w:color="auto"/>
                  </w:tcBorders>
                  <w:shd w:val="clear" w:color="auto" w:fill="auto"/>
                  <w:noWrap/>
                </w:tcPr>
                <w:p w:rsidR="008922D7" w:rsidRPr="003074E5" w:rsidRDefault="008922D7" w:rsidP="00D63EAB">
                  <w:pPr>
                    <w:suppressAutoHyphens w:val="0"/>
                    <w:spacing w:after="0" w:line="240" w:lineRule="auto"/>
                    <w:jc w:val="right"/>
                    <w:rPr>
                      <w:rFonts w:eastAsia="Times New Roman" w:cs="Arial"/>
                      <w:sz w:val="20"/>
                      <w:szCs w:val="20"/>
                      <w:lang w:eastAsia="it-IT"/>
                    </w:rPr>
                  </w:pPr>
                  <w:r>
                    <w:rPr>
                      <w:rFonts w:eastAsia="Times New Roman" w:cs="Arial"/>
                      <w:sz w:val="20"/>
                      <w:szCs w:val="20"/>
                      <w:lang w:eastAsia="it-IT"/>
                    </w:rPr>
                    <w:t>2.122.667,00</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p>
              </w:tc>
              <w:tc>
                <w:tcPr>
                  <w:tcW w:w="751" w:type="dxa"/>
                  <w:tcBorders>
                    <w:top w:val="nil"/>
                    <w:left w:val="single" w:sz="8"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510"/>
              </w:trPr>
              <w:tc>
                <w:tcPr>
                  <w:tcW w:w="987" w:type="dxa"/>
                  <w:tcBorders>
                    <w:top w:val="nil"/>
                    <w:left w:val="single" w:sz="4" w:space="0" w:color="auto"/>
                    <w:bottom w:val="nil"/>
                    <w:right w:val="nil"/>
                  </w:tcBorders>
                  <w:shd w:val="clear" w:color="auto" w:fill="auto"/>
                  <w:noWrap/>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6</w:t>
                  </w:r>
                </w:p>
              </w:tc>
              <w:tc>
                <w:tcPr>
                  <w:tcW w:w="2325" w:type="dxa"/>
                  <w:tcBorders>
                    <w:top w:val="nil"/>
                    <w:left w:val="nil"/>
                    <w:bottom w:val="nil"/>
                    <w:right w:val="nil"/>
                  </w:tcBorders>
                  <w:shd w:val="clear" w:color="auto" w:fill="auto"/>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Entrate da servizi per conto di terzi</w:t>
                  </w:r>
                </w:p>
              </w:tc>
              <w:tc>
                <w:tcPr>
                  <w:tcW w:w="1505" w:type="dxa"/>
                  <w:gridSpan w:val="2"/>
                  <w:tcBorders>
                    <w:top w:val="nil"/>
                    <w:left w:val="single" w:sz="8" w:space="0" w:color="auto"/>
                    <w:bottom w:val="nil"/>
                    <w:right w:val="single" w:sz="8" w:space="0" w:color="000000"/>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sz w:val="20"/>
                      <w:szCs w:val="20"/>
                      <w:lang w:eastAsia="it-IT"/>
                    </w:rPr>
                  </w:pPr>
                  <w:r>
                    <w:rPr>
                      <w:rFonts w:eastAsia="Times New Roman" w:cs="Arial"/>
                      <w:sz w:val="20"/>
                      <w:szCs w:val="20"/>
                      <w:lang w:eastAsia="it-IT"/>
                    </w:rPr>
                    <w:t>4.920.000,00</w:t>
                  </w:r>
                </w:p>
              </w:tc>
              <w:tc>
                <w:tcPr>
                  <w:tcW w:w="987" w:type="dxa"/>
                  <w:tcBorders>
                    <w:top w:val="nil"/>
                    <w:left w:val="nil"/>
                    <w:bottom w:val="nil"/>
                    <w:right w:val="nil"/>
                  </w:tcBorders>
                  <w:shd w:val="clear" w:color="auto" w:fill="auto"/>
                  <w:noWrap/>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b/>
                      <w:bCs/>
                      <w:sz w:val="20"/>
                      <w:szCs w:val="20"/>
                      <w:lang w:eastAsia="it-IT"/>
                    </w:rPr>
                    <w:t>Titolo</w:t>
                  </w:r>
                  <w:r w:rsidRPr="003074E5">
                    <w:rPr>
                      <w:rFonts w:eastAsia="Times New Roman" w:cs="Arial"/>
                      <w:sz w:val="20"/>
                      <w:szCs w:val="20"/>
                      <w:lang w:eastAsia="it-IT"/>
                    </w:rPr>
                    <w:t xml:space="preserve">  4</w:t>
                  </w:r>
                </w:p>
              </w:tc>
              <w:tc>
                <w:tcPr>
                  <w:tcW w:w="2325" w:type="dxa"/>
                  <w:tcBorders>
                    <w:top w:val="nil"/>
                    <w:left w:val="nil"/>
                    <w:bottom w:val="nil"/>
                    <w:right w:val="single" w:sz="8" w:space="0" w:color="auto"/>
                  </w:tcBorders>
                  <w:shd w:val="clear" w:color="auto" w:fill="auto"/>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Spese per servizi per conto di terzi</w:t>
                  </w:r>
                </w:p>
              </w:tc>
              <w:tc>
                <w:tcPr>
                  <w:tcW w:w="1505" w:type="dxa"/>
                  <w:gridSpan w:val="2"/>
                  <w:tcBorders>
                    <w:top w:val="nil"/>
                    <w:left w:val="nil"/>
                    <w:bottom w:val="nil"/>
                    <w:right w:val="single" w:sz="4" w:space="0" w:color="auto"/>
                  </w:tcBorders>
                  <w:shd w:val="clear" w:color="auto" w:fill="auto"/>
                  <w:noWrap/>
                </w:tcPr>
                <w:p w:rsidR="008922D7" w:rsidRPr="003074E5" w:rsidRDefault="008922D7" w:rsidP="00D63EAB">
                  <w:pPr>
                    <w:suppressAutoHyphens w:val="0"/>
                    <w:spacing w:after="0" w:line="240" w:lineRule="auto"/>
                    <w:jc w:val="right"/>
                    <w:rPr>
                      <w:rFonts w:eastAsia="Times New Roman" w:cs="Arial"/>
                      <w:sz w:val="20"/>
                      <w:szCs w:val="20"/>
                      <w:lang w:eastAsia="it-IT"/>
                    </w:rPr>
                  </w:pPr>
                  <w:r w:rsidRPr="003074E5">
                    <w:rPr>
                      <w:rFonts w:eastAsia="Times New Roman" w:cs="Arial"/>
                      <w:sz w:val="20"/>
                      <w:szCs w:val="20"/>
                      <w:lang w:eastAsia="it-IT"/>
                    </w:rPr>
                    <w:t>4.920.000,00</w:t>
                  </w:r>
                </w:p>
              </w:tc>
            </w:tr>
            <w:tr w:rsidR="008922D7" w:rsidRPr="003074E5" w:rsidTr="00D63EAB">
              <w:trPr>
                <w:trHeight w:val="270"/>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p>
              </w:tc>
              <w:tc>
                <w:tcPr>
                  <w:tcW w:w="751" w:type="dxa"/>
                  <w:tcBorders>
                    <w:top w:val="nil"/>
                    <w:left w:val="single" w:sz="8" w:space="0" w:color="auto"/>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single" w:sz="8" w:space="0" w:color="auto"/>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single" w:sz="8" w:space="0" w:color="auto"/>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single" w:sz="8" w:space="0" w:color="auto"/>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49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center"/>
                </w:tcPr>
                <w:p w:rsidR="008922D7" w:rsidRPr="003074E5" w:rsidRDefault="008922D7" w:rsidP="00D63EAB">
                  <w:pPr>
                    <w:suppressAutoHyphens w:val="0"/>
                    <w:spacing w:after="0" w:line="240" w:lineRule="auto"/>
                    <w:jc w:val="right"/>
                    <w:rPr>
                      <w:rFonts w:eastAsia="Times New Roman" w:cs="Arial"/>
                      <w:b/>
                      <w:bCs/>
                      <w:sz w:val="20"/>
                      <w:szCs w:val="20"/>
                      <w:lang w:eastAsia="it-IT"/>
                    </w:rPr>
                  </w:pPr>
                  <w:r w:rsidRPr="003074E5">
                    <w:rPr>
                      <w:rFonts w:eastAsia="Times New Roman" w:cs="Arial"/>
                      <w:b/>
                      <w:bCs/>
                      <w:sz w:val="20"/>
                      <w:szCs w:val="20"/>
                      <w:lang w:eastAsia="it-IT"/>
                    </w:rPr>
                    <w:t>Totale</w:t>
                  </w:r>
                </w:p>
              </w:tc>
              <w:tc>
                <w:tcPr>
                  <w:tcW w:w="150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tcPr>
                <w:p w:rsidR="008922D7" w:rsidRPr="003074E5" w:rsidRDefault="008922D7" w:rsidP="00D63EAB">
                  <w:pPr>
                    <w:suppressAutoHyphens w:val="0"/>
                    <w:spacing w:after="0" w:line="240" w:lineRule="auto"/>
                    <w:jc w:val="right"/>
                    <w:rPr>
                      <w:rFonts w:eastAsia="Times New Roman" w:cs="Arial"/>
                      <w:b/>
                      <w:bCs/>
                      <w:sz w:val="20"/>
                      <w:szCs w:val="20"/>
                      <w:lang w:eastAsia="it-IT"/>
                    </w:rPr>
                  </w:pPr>
                  <w:r>
                    <w:rPr>
                      <w:rFonts w:eastAsia="Times New Roman" w:cs="Arial"/>
                      <w:b/>
                      <w:bCs/>
                      <w:sz w:val="20"/>
                      <w:szCs w:val="20"/>
                      <w:lang w:eastAsia="it-IT"/>
                    </w:rPr>
                    <w:t>47.940.477,94</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center"/>
                </w:tcPr>
                <w:p w:rsidR="008922D7" w:rsidRPr="003074E5" w:rsidRDefault="008922D7" w:rsidP="00D63EAB">
                  <w:pPr>
                    <w:suppressAutoHyphens w:val="0"/>
                    <w:spacing w:after="0" w:line="240" w:lineRule="auto"/>
                    <w:jc w:val="right"/>
                    <w:rPr>
                      <w:rFonts w:eastAsia="Times New Roman" w:cs="Arial"/>
                      <w:b/>
                      <w:bCs/>
                      <w:sz w:val="20"/>
                      <w:szCs w:val="20"/>
                      <w:lang w:eastAsia="it-IT"/>
                    </w:rPr>
                  </w:pPr>
                  <w:r w:rsidRPr="003074E5">
                    <w:rPr>
                      <w:rFonts w:eastAsia="Times New Roman" w:cs="Arial"/>
                      <w:b/>
                      <w:bCs/>
                      <w:sz w:val="20"/>
                      <w:szCs w:val="20"/>
                      <w:lang w:eastAsia="it-IT"/>
                    </w:rPr>
                    <w:t>Totale</w:t>
                  </w:r>
                </w:p>
              </w:tc>
              <w:tc>
                <w:tcPr>
                  <w:tcW w:w="1505" w:type="dxa"/>
                  <w:gridSpan w:val="2"/>
                  <w:tcBorders>
                    <w:top w:val="single" w:sz="8" w:space="0" w:color="auto"/>
                    <w:left w:val="nil"/>
                    <w:bottom w:val="single" w:sz="8" w:space="0" w:color="auto"/>
                    <w:right w:val="single" w:sz="4" w:space="0" w:color="auto"/>
                  </w:tcBorders>
                  <w:shd w:val="clear" w:color="auto" w:fill="auto"/>
                  <w:noWrap/>
                  <w:vAlign w:val="center"/>
                </w:tcPr>
                <w:p w:rsidR="008922D7" w:rsidRPr="003074E5" w:rsidRDefault="008922D7" w:rsidP="00D63EAB">
                  <w:pPr>
                    <w:suppressAutoHyphens w:val="0"/>
                    <w:spacing w:after="0" w:line="240" w:lineRule="auto"/>
                    <w:jc w:val="right"/>
                    <w:rPr>
                      <w:rFonts w:eastAsia="Times New Roman" w:cs="Arial"/>
                      <w:b/>
                      <w:bCs/>
                      <w:sz w:val="20"/>
                      <w:szCs w:val="20"/>
                      <w:lang w:eastAsia="it-IT"/>
                    </w:rPr>
                  </w:pPr>
                  <w:r>
                    <w:rPr>
                      <w:rFonts w:eastAsia="Times New Roman" w:cs="Arial"/>
                      <w:b/>
                      <w:bCs/>
                      <w:sz w:val="20"/>
                      <w:szCs w:val="20"/>
                      <w:lang w:eastAsia="it-IT"/>
                    </w:rPr>
                    <w:t>47.940.477,94</w:t>
                  </w:r>
                </w:p>
              </w:tc>
            </w:tr>
            <w:tr w:rsidR="008922D7" w:rsidRPr="003074E5" w:rsidTr="00D63EAB">
              <w:trPr>
                <w:trHeight w:val="495"/>
              </w:trPr>
              <w:tc>
                <w:tcPr>
                  <w:tcW w:w="3312" w:type="dxa"/>
                  <w:gridSpan w:val="2"/>
                  <w:tcBorders>
                    <w:top w:val="nil"/>
                    <w:left w:val="single" w:sz="4" w:space="0" w:color="auto"/>
                    <w:bottom w:val="nil"/>
                    <w:right w:val="nil"/>
                  </w:tcBorders>
                  <w:shd w:val="clear" w:color="auto" w:fill="auto"/>
                  <w:noWrap/>
                  <w:vAlign w:val="center"/>
                </w:tcPr>
                <w:p w:rsidR="008922D7" w:rsidRPr="003074E5" w:rsidRDefault="008922D7" w:rsidP="00D63EAB">
                  <w:pPr>
                    <w:suppressAutoHyphens w:val="0"/>
                    <w:spacing w:after="0" w:line="240" w:lineRule="auto"/>
                    <w:jc w:val="center"/>
                    <w:rPr>
                      <w:rFonts w:eastAsia="Times New Roman" w:cs="Arial"/>
                      <w:b/>
                      <w:bCs/>
                      <w:sz w:val="20"/>
                      <w:szCs w:val="20"/>
                      <w:lang w:eastAsia="it-IT"/>
                    </w:rPr>
                  </w:pPr>
                  <w:r w:rsidRPr="003074E5">
                    <w:rPr>
                      <w:rFonts w:eastAsia="Times New Roman" w:cs="Arial"/>
                      <w:b/>
                      <w:bCs/>
                      <w:sz w:val="20"/>
                      <w:szCs w:val="20"/>
                      <w:lang w:eastAsia="it-IT"/>
                    </w:rPr>
                    <w:t>Avanzo di Amministrazione</w:t>
                  </w:r>
                </w:p>
              </w:tc>
              <w:tc>
                <w:tcPr>
                  <w:tcW w:w="1505"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tcPr>
                <w:p w:rsidR="008922D7" w:rsidRPr="003074E5" w:rsidRDefault="008922D7" w:rsidP="00D63EAB">
                  <w:pPr>
                    <w:suppressAutoHyphens w:val="0"/>
                    <w:spacing w:after="0" w:line="240" w:lineRule="auto"/>
                    <w:jc w:val="right"/>
                    <w:rPr>
                      <w:rFonts w:eastAsia="Times New Roman" w:cs="Arial"/>
                      <w:sz w:val="20"/>
                      <w:szCs w:val="20"/>
                      <w:lang w:eastAsia="it-IT"/>
                    </w:rPr>
                  </w:pPr>
                </w:p>
              </w:tc>
              <w:tc>
                <w:tcPr>
                  <w:tcW w:w="3312" w:type="dxa"/>
                  <w:gridSpan w:val="2"/>
                  <w:tcBorders>
                    <w:top w:val="nil"/>
                    <w:left w:val="nil"/>
                    <w:bottom w:val="nil"/>
                    <w:right w:val="single" w:sz="8" w:space="0" w:color="000000"/>
                  </w:tcBorders>
                  <w:shd w:val="clear" w:color="auto" w:fill="auto"/>
                  <w:noWrap/>
                  <w:vAlign w:val="center"/>
                </w:tcPr>
                <w:p w:rsidR="008922D7" w:rsidRPr="003074E5" w:rsidRDefault="008922D7" w:rsidP="00D63EAB">
                  <w:pPr>
                    <w:suppressAutoHyphens w:val="0"/>
                    <w:spacing w:after="0" w:line="240" w:lineRule="auto"/>
                    <w:jc w:val="center"/>
                    <w:rPr>
                      <w:rFonts w:eastAsia="Times New Roman" w:cs="Arial"/>
                      <w:b/>
                      <w:bCs/>
                      <w:sz w:val="20"/>
                      <w:szCs w:val="20"/>
                      <w:lang w:eastAsia="it-IT"/>
                    </w:rPr>
                  </w:pPr>
                  <w:r w:rsidRPr="003074E5">
                    <w:rPr>
                      <w:rFonts w:eastAsia="Times New Roman" w:cs="Arial"/>
                      <w:b/>
                      <w:bCs/>
                      <w:sz w:val="20"/>
                      <w:szCs w:val="20"/>
                      <w:lang w:eastAsia="it-IT"/>
                    </w:rPr>
                    <w:t>Disavanzo di Amministrazione</w:t>
                  </w:r>
                </w:p>
              </w:tc>
              <w:tc>
                <w:tcPr>
                  <w:tcW w:w="1505" w:type="dxa"/>
                  <w:gridSpan w:val="2"/>
                  <w:tcBorders>
                    <w:top w:val="single" w:sz="8" w:space="0" w:color="auto"/>
                    <w:left w:val="nil"/>
                    <w:bottom w:val="single" w:sz="8" w:space="0" w:color="auto"/>
                    <w:right w:val="single" w:sz="4" w:space="0" w:color="auto"/>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sz w:val="20"/>
                      <w:szCs w:val="20"/>
                      <w:lang w:eastAsia="it-IT"/>
                    </w:rPr>
                  </w:pPr>
                  <w:r w:rsidRPr="003074E5">
                    <w:rPr>
                      <w:rFonts w:eastAsia="Times New Roman" w:cs="Arial"/>
                      <w:sz w:val="20"/>
                      <w:szCs w:val="20"/>
                      <w:lang w:eastAsia="it-IT"/>
                    </w:rPr>
                    <w:t>0,00</w:t>
                  </w:r>
                </w:p>
              </w:tc>
            </w:tr>
            <w:tr w:rsidR="008922D7" w:rsidRPr="003074E5" w:rsidTr="00D63EAB">
              <w:trPr>
                <w:trHeight w:val="255"/>
              </w:trPr>
              <w:tc>
                <w:tcPr>
                  <w:tcW w:w="987" w:type="dxa"/>
                  <w:tcBorders>
                    <w:top w:val="nil"/>
                    <w:left w:val="single" w:sz="4"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p>
              </w:tc>
              <w:tc>
                <w:tcPr>
                  <w:tcW w:w="751" w:type="dxa"/>
                  <w:tcBorders>
                    <w:top w:val="nil"/>
                    <w:left w:val="single" w:sz="8" w:space="0" w:color="auto"/>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987"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2325" w:type="dxa"/>
                  <w:tcBorders>
                    <w:top w:val="nil"/>
                    <w:left w:val="nil"/>
                    <w:bottom w:val="nil"/>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1" w:type="dxa"/>
                  <w:tcBorders>
                    <w:top w:val="nil"/>
                    <w:left w:val="nil"/>
                    <w:bottom w:val="nil"/>
                    <w:right w:val="nil"/>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c>
                <w:tcPr>
                  <w:tcW w:w="754" w:type="dxa"/>
                  <w:tcBorders>
                    <w:top w:val="nil"/>
                    <w:left w:val="nil"/>
                    <w:bottom w:val="nil"/>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eastAsia="Times New Roman" w:cs="Arial"/>
                      <w:sz w:val="20"/>
                      <w:szCs w:val="20"/>
                      <w:lang w:eastAsia="it-IT"/>
                    </w:rPr>
                  </w:pPr>
                  <w:r w:rsidRPr="003074E5">
                    <w:rPr>
                      <w:rFonts w:eastAsia="Times New Roman" w:cs="Arial"/>
                      <w:sz w:val="20"/>
                      <w:szCs w:val="20"/>
                      <w:lang w:eastAsia="it-IT"/>
                    </w:rPr>
                    <w:t> </w:t>
                  </w:r>
                </w:p>
              </w:tc>
            </w:tr>
            <w:tr w:rsidR="008922D7" w:rsidRPr="003074E5" w:rsidTr="00D63EAB">
              <w:trPr>
                <w:trHeight w:val="255"/>
              </w:trPr>
              <w:tc>
                <w:tcPr>
                  <w:tcW w:w="3312" w:type="dxa"/>
                  <w:gridSpan w:val="2"/>
                  <w:tcBorders>
                    <w:top w:val="nil"/>
                    <w:left w:val="single" w:sz="4" w:space="0" w:color="auto"/>
                    <w:bottom w:val="single" w:sz="4" w:space="0" w:color="auto"/>
                    <w:right w:val="nil"/>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b/>
                      <w:bCs/>
                      <w:sz w:val="20"/>
                      <w:szCs w:val="20"/>
                      <w:lang w:eastAsia="it-IT"/>
                    </w:rPr>
                  </w:pPr>
                  <w:r w:rsidRPr="003074E5">
                    <w:rPr>
                      <w:rFonts w:eastAsia="Times New Roman" w:cs="Arial"/>
                      <w:b/>
                      <w:bCs/>
                      <w:sz w:val="20"/>
                      <w:szCs w:val="20"/>
                      <w:lang w:eastAsia="it-IT"/>
                    </w:rPr>
                    <w:t>Totale Complessivo Entrate</w:t>
                  </w:r>
                </w:p>
              </w:tc>
              <w:tc>
                <w:tcPr>
                  <w:tcW w:w="1505" w:type="dxa"/>
                  <w:gridSpan w:val="2"/>
                  <w:tcBorders>
                    <w:top w:val="nil"/>
                    <w:left w:val="single" w:sz="8" w:space="0" w:color="auto"/>
                    <w:bottom w:val="single" w:sz="4" w:space="0" w:color="auto"/>
                    <w:right w:val="single" w:sz="8" w:space="0" w:color="000000"/>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b/>
                      <w:bCs/>
                      <w:sz w:val="20"/>
                      <w:szCs w:val="20"/>
                      <w:lang w:eastAsia="it-IT"/>
                    </w:rPr>
                  </w:pPr>
                  <w:r>
                    <w:rPr>
                      <w:rFonts w:eastAsia="Times New Roman" w:cs="Arial"/>
                      <w:b/>
                      <w:bCs/>
                      <w:sz w:val="20"/>
                      <w:szCs w:val="20"/>
                      <w:lang w:eastAsia="it-IT"/>
                    </w:rPr>
                    <w:t>47.940.477,94</w:t>
                  </w:r>
                </w:p>
              </w:tc>
              <w:tc>
                <w:tcPr>
                  <w:tcW w:w="3312" w:type="dxa"/>
                  <w:gridSpan w:val="2"/>
                  <w:tcBorders>
                    <w:top w:val="nil"/>
                    <w:left w:val="nil"/>
                    <w:bottom w:val="single" w:sz="4" w:space="0" w:color="auto"/>
                    <w:right w:val="single" w:sz="8" w:space="0" w:color="000000"/>
                  </w:tcBorders>
                  <w:shd w:val="clear" w:color="auto" w:fill="auto"/>
                  <w:noWrap/>
                  <w:vAlign w:val="bottom"/>
                </w:tcPr>
                <w:p w:rsidR="008922D7" w:rsidRPr="003074E5" w:rsidRDefault="008922D7" w:rsidP="00D63EAB">
                  <w:pPr>
                    <w:suppressAutoHyphens w:val="0"/>
                    <w:spacing w:after="0" w:line="240" w:lineRule="auto"/>
                    <w:jc w:val="center"/>
                    <w:rPr>
                      <w:rFonts w:eastAsia="Times New Roman" w:cs="Arial"/>
                      <w:b/>
                      <w:bCs/>
                      <w:sz w:val="20"/>
                      <w:szCs w:val="20"/>
                      <w:lang w:eastAsia="it-IT"/>
                    </w:rPr>
                  </w:pPr>
                  <w:r w:rsidRPr="003074E5">
                    <w:rPr>
                      <w:rFonts w:eastAsia="Times New Roman" w:cs="Arial"/>
                      <w:b/>
                      <w:bCs/>
                      <w:sz w:val="20"/>
                      <w:szCs w:val="20"/>
                      <w:lang w:eastAsia="it-IT"/>
                    </w:rPr>
                    <w:t>Totale Complessivo Spese</w:t>
                  </w:r>
                </w:p>
              </w:tc>
              <w:tc>
                <w:tcPr>
                  <w:tcW w:w="1505" w:type="dxa"/>
                  <w:gridSpan w:val="2"/>
                  <w:tcBorders>
                    <w:top w:val="nil"/>
                    <w:left w:val="nil"/>
                    <w:bottom w:val="single" w:sz="4" w:space="0" w:color="auto"/>
                    <w:right w:val="single" w:sz="4" w:space="0" w:color="auto"/>
                  </w:tcBorders>
                  <w:shd w:val="clear" w:color="auto" w:fill="auto"/>
                  <w:noWrap/>
                  <w:vAlign w:val="bottom"/>
                </w:tcPr>
                <w:p w:rsidR="008922D7" w:rsidRPr="003074E5" w:rsidRDefault="008922D7" w:rsidP="00D63EAB">
                  <w:pPr>
                    <w:suppressAutoHyphens w:val="0"/>
                    <w:spacing w:after="0" w:line="240" w:lineRule="auto"/>
                    <w:jc w:val="right"/>
                    <w:rPr>
                      <w:rFonts w:eastAsia="Times New Roman" w:cs="Arial"/>
                      <w:b/>
                      <w:bCs/>
                      <w:sz w:val="20"/>
                      <w:szCs w:val="20"/>
                      <w:lang w:eastAsia="it-IT"/>
                    </w:rPr>
                  </w:pPr>
                  <w:r>
                    <w:rPr>
                      <w:rFonts w:eastAsia="Times New Roman" w:cs="Arial"/>
                      <w:b/>
                      <w:bCs/>
                      <w:sz w:val="20"/>
                      <w:szCs w:val="20"/>
                      <w:lang w:eastAsia="it-IT"/>
                    </w:rPr>
                    <w:t>47.940.477,94</w:t>
                  </w:r>
                </w:p>
              </w:tc>
            </w:tr>
            <w:tr w:rsidR="008922D7" w:rsidRPr="003074E5" w:rsidTr="00D63EAB">
              <w:trPr>
                <w:trHeight w:val="270"/>
              </w:trPr>
              <w:tc>
                <w:tcPr>
                  <w:tcW w:w="987" w:type="dxa"/>
                  <w:tcBorders>
                    <w:top w:val="single" w:sz="4" w:space="0" w:color="auto"/>
                    <w:left w:val="single" w:sz="4" w:space="0" w:color="auto"/>
                    <w:bottom w:val="single" w:sz="4" w:space="0" w:color="auto"/>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2325" w:type="dxa"/>
                  <w:tcBorders>
                    <w:top w:val="single" w:sz="4" w:space="0" w:color="auto"/>
                    <w:left w:val="nil"/>
                    <w:bottom w:val="single" w:sz="4" w:space="0" w:color="auto"/>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1" w:type="dxa"/>
                  <w:tcBorders>
                    <w:top w:val="single" w:sz="4" w:space="0" w:color="auto"/>
                    <w:left w:val="single" w:sz="8" w:space="0" w:color="auto"/>
                    <w:bottom w:val="single" w:sz="4" w:space="0" w:color="auto"/>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4" w:type="dxa"/>
                  <w:tcBorders>
                    <w:top w:val="single" w:sz="4" w:space="0" w:color="auto"/>
                    <w:left w:val="nil"/>
                    <w:bottom w:val="single" w:sz="4" w:space="0" w:color="auto"/>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987" w:type="dxa"/>
                  <w:tcBorders>
                    <w:top w:val="single" w:sz="4" w:space="0" w:color="auto"/>
                    <w:left w:val="nil"/>
                    <w:bottom w:val="single" w:sz="4" w:space="0" w:color="auto"/>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2325" w:type="dxa"/>
                  <w:tcBorders>
                    <w:top w:val="single" w:sz="4" w:space="0" w:color="auto"/>
                    <w:left w:val="nil"/>
                    <w:bottom w:val="single" w:sz="4" w:space="0" w:color="auto"/>
                    <w:right w:val="single" w:sz="8" w:space="0" w:color="auto"/>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1" w:type="dxa"/>
                  <w:tcBorders>
                    <w:top w:val="single" w:sz="4" w:space="0" w:color="auto"/>
                    <w:left w:val="nil"/>
                    <w:bottom w:val="single" w:sz="4" w:space="0" w:color="auto"/>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4" w:type="dxa"/>
                  <w:tcBorders>
                    <w:top w:val="single" w:sz="4" w:space="0" w:color="auto"/>
                    <w:left w:val="nil"/>
                    <w:bottom w:val="single" w:sz="4" w:space="0" w:color="auto"/>
                    <w:right w:val="single" w:sz="4" w:space="0" w:color="auto"/>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r>
            <w:tr w:rsidR="008922D7" w:rsidRPr="003074E5" w:rsidTr="00D63EAB">
              <w:trPr>
                <w:trHeight w:val="270"/>
              </w:trPr>
              <w:tc>
                <w:tcPr>
                  <w:tcW w:w="987" w:type="dxa"/>
                  <w:tcBorders>
                    <w:top w:val="single" w:sz="4" w:space="0" w:color="auto"/>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2325" w:type="dxa"/>
                  <w:tcBorders>
                    <w:top w:val="single" w:sz="4" w:space="0" w:color="auto"/>
                    <w:left w:val="nil"/>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1" w:type="dxa"/>
                  <w:tcBorders>
                    <w:top w:val="single" w:sz="4" w:space="0" w:color="auto"/>
                    <w:left w:val="nil"/>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4" w:type="dxa"/>
                  <w:tcBorders>
                    <w:top w:val="single" w:sz="4" w:space="0" w:color="auto"/>
                    <w:left w:val="nil"/>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987" w:type="dxa"/>
                  <w:tcBorders>
                    <w:top w:val="single" w:sz="4" w:space="0" w:color="auto"/>
                    <w:left w:val="nil"/>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2325" w:type="dxa"/>
                  <w:tcBorders>
                    <w:top w:val="single" w:sz="4" w:space="0" w:color="auto"/>
                    <w:left w:val="nil"/>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1" w:type="dxa"/>
                  <w:tcBorders>
                    <w:top w:val="single" w:sz="4" w:space="0" w:color="auto"/>
                    <w:left w:val="nil"/>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c>
                <w:tcPr>
                  <w:tcW w:w="754" w:type="dxa"/>
                  <w:tcBorders>
                    <w:top w:val="single" w:sz="4" w:space="0" w:color="auto"/>
                    <w:left w:val="nil"/>
                    <w:right w:val="nil"/>
                  </w:tcBorders>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r w:rsidRPr="003074E5">
                    <w:rPr>
                      <w:rFonts w:ascii="Arial" w:eastAsia="Times New Roman" w:hAnsi="Arial" w:cs="Arial"/>
                      <w:sz w:val="20"/>
                      <w:szCs w:val="20"/>
                      <w:lang w:eastAsia="it-IT"/>
                    </w:rPr>
                    <w:t> </w:t>
                  </w:r>
                </w:p>
              </w:tc>
            </w:tr>
          </w:tbl>
          <w:p w:rsidR="008922D7" w:rsidRPr="003074E5" w:rsidRDefault="008922D7" w:rsidP="00D63EAB">
            <w:pPr>
              <w:suppressAutoHyphens w:val="0"/>
              <w:spacing w:after="0" w:line="240" w:lineRule="auto"/>
              <w:rPr>
                <w:rFonts w:ascii="Arial" w:eastAsia="Times New Roman" w:hAnsi="Arial" w:cs="Arial"/>
                <w:sz w:val="20"/>
                <w:szCs w:val="20"/>
                <w:lang w:eastAsia="it-IT"/>
              </w:rPr>
            </w:pPr>
          </w:p>
        </w:tc>
        <w:tc>
          <w:tcPr>
            <w:tcW w:w="2260" w:type="dxa"/>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p>
        </w:tc>
        <w:tc>
          <w:tcPr>
            <w:tcW w:w="710" w:type="dxa"/>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p>
        </w:tc>
        <w:tc>
          <w:tcPr>
            <w:tcW w:w="710" w:type="dxa"/>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p>
        </w:tc>
        <w:tc>
          <w:tcPr>
            <w:tcW w:w="934" w:type="dxa"/>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p>
        </w:tc>
        <w:tc>
          <w:tcPr>
            <w:tcW w:w="2286" w:type="dxa"/>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p>
        </w:tc>
        <w:tc>
          <w:tcPr>
            <w:tcW w:w="710" w:type="dxa"/>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p>
        </w:tc>
        <w:tc>
          <w:tcPr>
            <w:tcW w:w="710" w:type="dxa"/>
            <w:shd w:val="clear" w:color="auto" w:fill="auto"/>
            <w:noWrap/>
            <w:vAlign w:val="bottom"/>
          </w:tcPr>
          <w:p w:rsidR="008922D7" w:rsidRPr="003074E5" w:rsidRDefault="008922D7" w:rsidP="00D63EAB">
            <w:pPr>
              <w:suppressAutoHyphens w:val="0"/>
              <w:spacing w:after="0" w:line="240" w:lineRule="auto"/>
              <w:rPr>
                <w:rFonts w:ascii="Arial" w:eastAsia="Times New Roman" w:hAnsi="Arial" w:cs="Arial"/>
                <w:sz w:val="20"/>
                <w:szCs w:val="20"/>
                <w:lang w:eastAsia="it-IT"/>
              </w:rPr>
            </w:pPr>
          </w:p>
        </w:tc>
      </w:tr>
    </w:tbl>
    <w:p w:rsidR="008922D7" w:rsidRDefault="008922D7" w:rsidP="008922D7">
      <w:pPr>
        <w:suppressAutoHyphens w:val="0"/>
        <w:autoSpaceDE w:val="0"/>
        <w:spacing w:after="0" w:line="240" w:lineRule="auto"/>
        <w:rPr>
          <w:rFonts w:eastAsia="ArialMT" w:cs="ArialMT"/>
          <w:szCs w:val="18"/>
        </w:rPr>
      </w:pPr>
    </w:p>
    <w:p w:rsidR="008922D7" w:rsidRDefault="008922D7" w:rsidP="008922D7">
      <w:pPr>
        <w:suppressAutoHyphens w:val="0"/>
        <w:autoSpaceDE w:val="0"/>
        <w:spacing w:after="0" w:line="240" w:lineRule="auto"/>
        <w:rPr>
          <w:rFonts w:eastAsia="ArialMT" w:cs="ArialMT"/>
          <w:szCs w:val="18"/>
        </w:rPr>
      </w:pPr>
    </w:p>
    <w:p w:rsidR="008922D7" w:rsidRDefault="008922D7" w:rsidP="008922D7">
      <w:pPr>
        <w:suppressAutoHyphens w:val="0"/>
        <w:autoSpaceDE w:val="0"/>
        <w:spacing w:after="0" w:line="240" w:lineRule="auto"/>
        <w:rPr>
          <w:rFonts w:eastAsia="ArialMT" w:cs="ArialMT"/>
          <w:szCs w:val="18"/>
        </w:rPr>
      </w:pPr>
    </w:p>
    <w:p w:rsidR="008922D7" w:rsidRDefault="008922D7" w:rsidP="008922D7">
      <w:pPr>
        <w:suppressAutoHyphens w:val="0"/>
        <w:autoSpaceDE w:val="0"/>
        <w:spacing w:after="0" w:line="240" w:lineRule="auto"/>
        <w:rPr>
          <w:rFonts w:eastAsia="ArialMT" w:cs="ArialMT"/>
          <w:szCs w:val="18"/>
        </w:rPr>
      </w:pPr>
    </w:p>
    <w:p w:rsidR="008922D7" w:rsidRDefault="008922D7" w:rsidP="008922D7">
      <w:pPr>
        <w:suppressAutoHyphens w:val="0"/>
        <w:autoSpaceDE w:val="0"/>
        <w:spacing w:after="0" w:line="240" w:lineRule="auto"/>
        <w:rPr>
          <w:rFonts w:eastAsia="ArialMT" w:cs="ArialMT"/>
          <w:szCs w:val="18"/>
        </w:rPr>
      </w:pPr>
    </w:p>
    <w:p w:rsidR="008922D7" w:rsidRDefault="008922D7" w:rsidP="008922D7">
      <w:pPr>
        <w:suppressAutoHyphens w:val="0"/>
        <w:autoSpaceDE w:val="0"/>
        <w:spacing w:after="0" w:line="360" w:lineRule="auto"/>
        <w:jc w:val="both"/>
        <w:rPr>
          <w:rFonts w:eastAsia="ArialMT" w:cs="ArialMT"/>
          <w:sz w:val="20"/>
          <w:szCs w:val="20"/>
        </w:rPr>
      </w:pP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 xml:space="preserve">La suddivisione del bilancio di competenza nelle </w:t>
      </w:r>
      <w:r w:rsidRPr="000221E0">
        <w:rPr>
          <w:rFonts w:eastAsia="Arial-ItalicMT" w:cs="Arial-ItalicMT"/>
          <w:iCs/>
          <w:sz w:val="20"/>
          <w:szCs w:val="20"/>
        </w:rPr>
        <w:t xml:space="preserve">quattro componenti </w:t>
      </w:r>
      <w:r w:rsidRPr="000221E0">
        <w:rPr>
          <w:rFonts w:eastAsia="ArialMT" w:cs="ArialMT"/>
          <w:sz w:val="20"/>
          <w:szCs w:val="20"/>
        </w:rPr>
        <w:t>permette di distinguere quante e quali risorse siano state destinate rispettivamente:</w:t>
      </w: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 xml:space="preserve">- Al funzionamento dell'ente (bilancio di parte </w:t>
      </w:r>
      <w:r w:rsidRPr="000221E0">
        <w:rPr>
          <w:rFonts w:eastAsia="Arial-ItalicMT" w:cs="Arial-ItalicMT"/>
          <w:iCs/>
          <w:sz w:val="20"/>
          <w:szCs w:val="20"/>
        </w:rPr>
        <w:t>corrente</w:t>
      </w:r>
      <w:r w:rsidRPr="000221E0">
        <w:rPr>
          <w:rFonts w:eastAsia="ArialMT" w:cs="ArialMT"/>
          <w:sz w:val="20"/>
          <w:szCs w:val="20"/>
        </w:rPr>
        <w:t>);</w:t>
      </w: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 xml:space="preserve">- All'attivazione di interventi in C/capitale (bilancio </w:t>
      </w:r>
      <w:r w:rsidRPr="000221E0">
        <w:rPr>
          <w:rFonts w:eastAsia="Arial-ItalicMT" w:cs="Arial-ItalicMT"/>
          <w:iCs/>
          <w:sz w:val="20"/>
          <w:szCs w:val="20"/>
        </w:rPr>
        <w:t>investimenti</w:t>
      </w:r>
      <w:r w:rsidRPr="000221E0">
        <w:rPr>
          <w:rFonts w:eastAsia="ArialMT" w:cs="ArialMT"/>
          <w:sz w:val="20"/>
          <w:szCs w:val="20"/>
        </w:rPr>
        <w:t>);</w:t>
      </w: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 Ad operazioni prive di contenuto economico (</w:t>
      </w:r>
      <w:r w:rsidRPr="000221E0">
        <w:rPr>
          <w:rFonts w:eastAsia="Arial-ItalicMT" w:cs="Arial-ItalicMT"/>
          <w:iCs/>
          <w:sz w:val="20"/>
          <w:szCs w:val="20"/>
        </w:rPr>
        <w:t>movimenti di fondi</w:t>
      </w:r>
      <w:r w:rsidRPr="000221E0">
        <w:rPr>
          <w:rFonts w:eastAsia="ArialMT" w:cs="ArialMT"/>
          <w:sz w:val="20"/>
          <w:szCs w:val="20"/>
        </w:rPr>
        <w:t>);</w:t>
      </w: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 Ad operazioni da cui derivano situazioni di debito/credito estranee alla gestione dell'ente (</w:t>
      </w:r>
      <w:r w:rsidRPr="000221E0">
        <w:rPr>
          <w:rFonts w:eastAsia="Arial-ItalicMT" w:cs="Arial-ItalicMT"/>
          <w:iCs/>
          <w:sz w:val="20"/>
          <w:szCs w:val="20"/>
        </w:rPr>
        <w:t>servizi per conto di terzi</w:t>
      </w:r>
      <w:r w:rsidRPr="000221E0">
        <w:rPr>
          <w:rFonts w:eastAsia="ArialMT" w:cs="ArialMT"/>
          <w:sz w:val="20"/>
          <w:szCs w:val="20"/>
        </w:rPr>
        <w:t>).</w:t>
      </w: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Ad inizio esercizio (Bilancio di previsione), queste quattro suddivisioni della gestione di competenza riportano una situazione di pareggio, dove gli stanziamenti di entrata finanziano interamente le previsioni i uscita. In circostanze particolari, invece, i risultati del bilancio di parte corrente e del bilancio investimenti possono riportare, rispettivamente,un avanzo e un disavanzo dello stesso importo, fermo restando il mantenimento del pareggio generale di bilancio. La situazione appena prospettata si verifica quando, come nell'esercizio 2010  di questo Ente,  l'amministrazione decide di finanziare parzialmente le spese di parte investimento con un'</w:t>
      </w:r>
      <w:r w:rsidRPr="000221E0">
        <w:rPr>
          <w:rFonts w:eastAsia="Arial-ItalicMT" w:cs="Arial-ItalicMT"/>
          <w:iCs/>
          <w:sz w:val="20"/>
          <w:szCs w:val="20"/>
        </w:rPr>
        <w:t xml:space="preserve">eccedenza di risorse correnti </w:t>
      </w:r>
      <w:r w:rsidRPr="000221E0">
        <w:rPr>
          <w:rFonts w:eastAsia="ArialMT" w:cs="ArialMT"/>
          <w:sz w:val="20"/>
          <w:szCs w:val="20"/>
        </w:rPr>
        <w:t>(situazione economica attiva). In questo caso, il risparmio di spese correnti produce un surplus di risorse che permette all'ente di espandere gli investimenti senza dover ricorrere a mezzi di terzi a titolo oneroso (mutui passivi).</w:t>
      </w: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A fine esercizio (Rendiconto) la prospettiva cambia completamente, dato che non si tratta più di decidere come destinare le risorse ma di misurare il risultato raggiunto con l'impiego di tali mezzi. Si va quindi a valutare l'impatto delle scelte di programmazione nella gestione effettiva dell'ente. In questa prospettiva, ritornando alle componenti del bilancio di competenza, la parte corrente dovrebbe chiudersi in avanzo, il bilancio investimenti in pareggio o in leggero avanzo, mentre il bilancio dei movimenti di fondi e quello dei servizi per conto di terzi (partite di giro),  continuerà ad essere in pareggio.</w:t>
      </w:r>
    </w:p>
    <w:p w:rsidR="008922D7" w:rsidRPr="000221E0" w:rsidRDefault="008922D7" w:rsidP="008922D7">
      <w:pPr>
        <w:suppressAutoHyphens w:val="0"/>
        <w:autoSpaceDE w:val="0"/>
        <w:spacing w:after="0" w:line="360" w:lineRule="auto"/>
        <w:jc w:val="both"/>
        <w:rPr>
          <w:rFonts w:eastAsia="ArialMT" w:cs="ArialMT"/>
          <w:sz w:val="20"/>
          <w:szCs w:val="20"/>
        </w:rPr>
      </w:pPr>
      <w:r w:rsidRPr="000221E0">
        <w:rPr>
          <w:rFonts w:eastAsia="ArialMT" w:cs="ArialMT"/>
          <w:sz w:val="20"/>
          <w:szCs w:val="20"/>
        </w:rPr>
        <w:t>Naturalmente, il verificarsi di eventi di natura straordinaria o difficilmente prevedibili può fare invece chiudere le singole gestioni non più in avanzo ma in disavanzo. Questo, per quanto si riferisce al risultato dei singoli raggruppamenti, mentre durante l'esercizio dovrà essere comunque mantenuto il pareggio finale.</w:t>
      </w:r>
    </w:p>
    <w:p w:rsidR="008922D7" w:rsidRPr="00CE71A5" w:rsidRDefault="008922D7" w:rsidP="008922D7">
      <w:pPr>
        <w:spacing w:line="360" w:lineRule="auto"/>
        <w:jc w:val="both"/>
        <w:rPr>
          <w:rFonts w:eastAsia="ArialMT" w:cs="ArialMT"/>
          <w:sz w:val="20"/>
          <w:szCs w:val="20"/>
        </w:rPr>
      </w:pPr>
      <w:r w:rsidRPr="000221E0">
        <w:rPr>
          <w:rFonts w:eastAsia="ArialMT" w:cs="ArialMT"/>
          <w:sz w:val="20"/>
          <w:szCs w:val="20"/>
        </w:rPr>
        <w:t>La tabella seguente riporta la composizione del bilancio di previsione 2011, riportato nel precedente schema,  a fine esercizio con le variazioni apportate durante l'anno</w:t>
      </w:r>
      <w:r w:rsidRPr="000221E0">
        <w:rPr>
          <w:rFonts w:eastAsia="ArialMT" w:cs="ArialMT"/>
          <w:color w:val="FF0000"/>
          <w:sz w:val="20"/>
          <w:szCs w:val="20"/>
        </w:rPr>
        <w:t xml:space="preserve">.    </w:t>
      </w:r>
      <w:r w:rsidRPr="00CE71A5">
        <w:rPr>
          <w:rFonts w:eastAsia="ArialMT" w:cs="ArialMT"/>
          <w:sz w:val="20"/>
          <w:szCs w:val="20"/>
        </w:rPr>
        <w:t>Infatti durante l'esercizio sono state apportate nove variazioni di bilancio, oltre l'assestamento generale e quattro prelevamenti dal fondo di riserva per un totale di € 22.021.319,72, con applicazione dell' avanzo di amministrazione per un totale di € 4.283.545,11.</w:t>
      </w:r>
    </w:p>
    <w:p w:rsidR="008922D7" w:rsidRPr="000221E0" w:rsidRDefault="008922D7" w:rsidP="008922D7">
      <w:pPr>
        <w:jc w:val="center"/>
        <w:rPr>
          <w:b/>
          <w:sz w:val="20"/>
          <w:szCs w:val="20"/>
        </w:rPr>
      </w:pPr>
    </w:p>
    <w:p w:rsidR="008922D7" w:rsidRPr="000221E0" w:rsidRDefault="008922D7" w:rsidP="008922D7">
      <w:pPr>
        <w:jc w:val="center"/>
        <w:rPr>
          <w:b/>
          <w:sz w:val="20"/>
          <w:szCs w:val="20"/>
        </w:rPr>
      </w:pPr>
    </w:p>
    <w:p w:rsidR="008922D7" w:rsidRDefault="008922D7" w:rsidP="008922D7">
      <w:pPr>
        <w:jc w:val="center"/>
        <w:rPr>
          <w:b/>
          <w:sz w:val="20"/>
          <w:szCs w:val="20"/>
        </w:rPr>
      </w:pPr>
    </w:p>
    <w:p w:rsidR="008922D7" w:rsidRDefault="008922D7" w:rsidP="008922D7">
      <w:pPr>
        <w:jc w:val="center"/>
        <w:rPr>
          <w:b/>
          <w:sz w:val="20"/>
          <w:szCs w:val="20"/>
        </w:rPr>
      </w:pPr>
    </w:p>
    <w:p w:rsidR="008922D7" w:rsidRPr="000221E0" w:rsidRDefault="008922D7" w:rsidP="008922D7">
      <w:pPr>
        <w:jc w:val="center"/>
        <w:rPr>
          <w:b/>
          <w:sz w:val="20"/>
          <w:szCs w:val="20"/>
        </w:rPr>
      </w:pPr>
    </w:p>
    <w:p w:rsidR="008922D7" w:rsidRPr="000221E0" w:rsidRDefault="008922D7" w:rsidP="008922D7">
      <w:pPr>
        <w:jc w:val="center"/>
        <w:rPr>
          <w:b/>
          <w:sz w:val="20"/>
          <w:szCs w:val="20"/>
        </w:rPr>
      </w:pPr>
    </w:p>
    <w:p w:rsidR="008922D7" w:rsidRDefault="008922D7" w:rsidP="008922D7">
      <w:pPr>
        <w:jc w:val="center"/>
        <w:rPr>
          <w:b/>
          <w:sz w:val="18"/>
          <w:szCs w:val="18"/>
        </w:rPr>
      </w:pPr>
    </w:p>
    <w:p w:rsidR="008922D7" w:rsidRDefault="008922D7" w:rsidP="008922D7">
      <w:pPr>
        <w:jc w:val="center"/>
        <w:rPr>
          <w:b/>
          <w:sz w:val="18"/>
          <w:szCs w:val="18"/>
        </w:rPr>
      </w:pPr>
    </w:p>
    <w:p w:rsidR="008922D7" w:rsidRDefault="008922D7" w:rsidP="008922D7">
      <w:pPr>
        <w:jc w:val="center"/>
        <w:rPr>
          <w:b/>
          <w:sz w:val="18"/>
          <w:szCs w:val="18"/>
        </w:rPr>
      </w:pPr>
    </w:p>
    <w:p w:rsidR="008922D7" w:rsidRDefault="008922D7" w:rsidP="008922D7">
      <w:pPr>
        <w:jc w:val="center"/>
        <w:rPr>
          <w:b/>
          <w:sz w:val="18"/>
          <w:szCs w:val="18"/>
        </w:rPr>
      </w:pPr>
    </w:p>
    <w:p w:rsidR="008922D7" w:rsidRPr="00BA1FCC" w:rsidRDefault="008922D7" w:rsidP="008922D7">
      <w:pPr>
        <w:jc w:val="center"/>
        <w:rPr>
          <w:b/>
          <w:sz w:val="20"/>
          <w:szCs w:val="20"/>
        </w:rPr>
      </w:pPr>
      <w:r w:rsidRPr="00BA1FCC">
        <w:rPr>
          <w:b/>
          <w:sz w:val="20"/>
          <w:szCs w:val="20"/>
        </w:rPr>
        <w:t xml:space="preserve">QUADRO RIASSUNTIVO GENERALE BILANCIO DEFINITIVO </w:t>
      </w:r>
      <w:r>
        <w:rPr>
          <w:b/>
          <w:sz w:val="20"/>
          <w:szCs w:val="20"/>
        </w:rPr>
        <w:t>2011</w:t>
      </w:r>
    </w:p>
    <w:tbl>
      <w:tblPr>
        <w:tblW w:w="0" w:type="auto"/>
        <w:tblInd w:w="25" w:type="dxa"/>
        <w:tblLayout w:type="fixed"/>
        <w:tblCellMar>
          <w:left w:w="70" w:type="dxa"/>
          <w:right w:w="70" w:type="dxa"/>
        </w:tblCellMar>
        <w:tblLook w:val="0000"/>
      </w:tblPr>
      <w:tblGrid>
        <w:gridCol w:w="1041"/>
        <w:gridCol w:w="2438"/>
        <w:gridCol w:w="767"/>
        <w:gridCol w:w="767"/>
        <w:gridCol w:w="1010"/>
        <w:gridCol w:w="2470"/>
        <w:gridCol w:w="767"/>
        <w:gridCol w:w="808"/>
      </w:tblGrid>
      <w:tr w:rsidR="008922D7" w:rsidRPr="00BA1FCC" w:rsidTr="00D63EAB">
        <w:trPr>
          <w:trHeight w:val="528"/>
        </w:trPr>
        <w:tc>
          <w:tcPr>
            <w:tcW w:w="3479" w:type="dxa"/>
            <w:gridSpan w:val="2"/>
            <w:tcBorders>
              <w:top w:val="single" w:sz="4" w:space="0" w:color="000000"/>
              <w:left w:val="single" w:sz="4" w:space="0" w:color="000000"/>
              <w:bottom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xml:space="preserve">           Entrate</w:t>
            </w:r>
          </w:p>
        </w:tc>
        <w:tc>
          <w:tcPr>
            <w:tcW w:w="1534" w:type="dxa"/>
            <w:gridSpan w:val="2"/>
            <w:tcBorders>
              <w:top w:val="single" w:sz="4" w:space="0" w:color="000000"/>
              <w:bottom w:val="single" w:sz="8"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Competenza</w:t>
            </w:r>
          </w:p>
        </w:tc>
        <w:tc>
          <w:tcPr>
            <w:tcW w:w="3479" w:type="dxa"/>
            <w:gridSpan w:val="2"/>
            <w:tcBorders>
              <w:top w:val="single" w:sz="4" w:space="0" w:color="000000"/>
              <w:left w:val="single" w:sz="8" w:space="0" w:color="000000"/>
              <w:bottom w:val="single" w:sz="8"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Spese</w:t>
            </w:r>
          </w:p>
        </w:tc>
        <w:tc>
          <w:tcPr>
            <w:tcW w:w="1575" w:type="dxa"/>
            <w:gridSpan w:val="2"/>
            <w:tcBorders>
              <w:top w:val="single" w:sz="4" w:space="0" w:color="000000"/>
              <w:bottom w:val="single" w:sz="8" w:space="0" w:color="000000"/>
              <w:right w:val="single" w:sz="4"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Competenza</w:t>
            </w:r>
          </w:p>
        </w:tc>
      </w:tr>
      <w:tr w:rsidR="008922D7" w:rsidRPr="00BA1FCC" w:rsidTr="00D63EAB">
        <w:trPr>
          <w:trHeight w:val="271"/>
        </w:trPr>
        <w:tc>
          <w:tcPr>
            <w:tcW w:w="3479" w:type="dxa"/>
            <w:gridSpan w:val="2"/>
            <w:tcBorders>
              <w:top w:val="single" w:sz="8" w:space="0" w:color="000000"/>
              <w:left w:val="single" w:sz="4" w:space="0" w:color="000000"/>
              <w:bottom w:val="single" w:sz="4"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1</w:t>
            </w:r>
          </w:p>
        </w:tc>
        <w:tc>
          <w:tcPr>
            <w:tcW w:w="1534" w:type="dxa"/>
            <w:gridSpan w:val="2"/>
            <w:tcBorders>
              <w:top w:val="single" w:sz="8" w:space="0" w:color="000000"/>
              <w:bottom w:val="single" w:sz="4"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2</w:t>
            </w:r>
          </w:p>
        </w:tc>
        <w:tc>
          <w:tcPr>
            <w:tcW w:w="3479" w:type="dxa"/>
            <w:gridSpan w:val="2"/>
            <w:tcBorders>
              <w:top w:val="single" w:sz="8" w:space="0" w:color="000000"/>
              <w:left w:val="single" w:sz="8" w:space="0" w:color="000000"/>
              <w:bottom w:val="single" w:sz="4"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3</w:t>
            </w:r>
          </w:p>
        </w:tc>
        <w:tc>
          <w:tcPr>
            <w:tcW w:w="1575" w:type="dxa"/>
            <w:gridSpan w:val="2"/>
            <w:tcBorders>
              <w:top w:val="single" w:sz="8" w:space="0" w:color="000000"/>
              <w:bottom w:val="single" w:sz="4" w:space="0" w:color="000000"/>
              <w:right w:val="single" w:sz="4"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4</w:t>
            </w:r>
          </w:p>
        </w:tc>
      </w:tr>
      <w:tr w:rsidR="008922D7" w:rsidRPr="00BA1FCC" w:rsidTr="00D63EAB">
        <w:trPr>
          <w:trHeight w:val="256"/>
        </w:trPr>
        <w:tc>
          <w:tcPr>
            <w:tcW w:w="1041" w:type="dxa"/>
            <w:tcBorders>
              <w:top w:val="single" w:sz="4" w:space="0" w:color="000000"/>
              <w:left w:val="single" w:sz="8"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 </w:t>
            </w:r>
          </w:p>
        </w:tc>
        <w:tc>
          <w:tcPr>
            <w:tcW w:w="2438" w:type="dxa"/>
            <w:tcBorders>
              <w:top w:val="single" w:sz="4"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 </w:t>
            </w:r>
          </w:p>
        </w:tc>
        <w:tc>
          <w:tcPr>
            <w:tcW w:w="767" w:type="dxa"/>
            <w:tcBorders>
              <w:top w:val="single" w:sz="4" w:space="0" w:color="000000"/>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top w:val="single" w:sz="4"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top w:val="single" w:sz="4" w:space="0" w:color="000000"/>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tcBorders>
              <w:top w:val="single" w:sz="4"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top w:val="single" w:sz="4" w:space="0" w:color="000000"/>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top w:val="single" w:sz="4" w:space="0" w:color="000000"/>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1</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Entrate Tributarie</w:t>
            </w:r>
          </w:p>
        </w:tc>
        <w:tc>
          <w:tcPr>
            <w:tcW w:w="1534" w:type="dxa"/>
            <w:gridSpan w:val="2"/>
            <w:tcBorders>
              <w:lef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9.571.841,68</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1</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Spese Correnti</w:t>
            </w:r>
          </w:p>
        </w:tc>
        <w:tc>
          <w:tcPr>
            <w:tcW w:w="1575" w:type="dxa"/>
            <w:gridSpan w:val="2"/>
            <w:tcBorders>
              <w:left w:val="single" w:sz="8" w:space="0" w:color="000000"/>
              <w:righ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39.848.512,48</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1312"/>
        </w:trPr>
        <w:tc>
          <w:tcPr>
            <w:tcW w:w="1041" w:type="dxa"/>
            <w:tcBorders>
              <w:left w:val="single" w:sz="8" w:space="0" w:color="000000"/>
            </w:tcBorders>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 xml:space="preserve">Titolo </w:t>
            </w:r>
            <w:r w:rsidRPr="00BA1FCC">
              <w:rPr>
                <w:rFonts w:eastAsia="Times New Roman" w:cs="Arial"/>
                <w:sz w:val="18"/>
                <w:szCs w:val="18"/>
              </w:rPr>
              <w:t xml:space="preserve">  2</w:t>
            </w:r>
          </w:p>
        </w:tc>
        <w:tc>
          <w:tcPr>
            <w:tcW w:w="2438" w:type="dxa"/>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Entrate derivanti da contributi e trasferimenti correnti dello Stato, della regione e di altri enti pubblici</w:t>
            </w:r>
          </w:p>
        </w:tc>
        <w:tc>
          <w:tcPr>
            <w:tcW w:w="1534" w:type="dxa"/>
            <w:gridSpan w:val="2"/>
            <w:tcBorders>
              <w:left w:val="single" w:sz="8" w:space="0" w:color="000000"/>
            </w:tcBorders>
            <w:shd w:val="clear" w:color="auto" w:fill="auto"/>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30.337.603,30</w:t>
            </w:r>
          </w:p>
        </w:tc>
        <w:tc>
          <w:tcPr>
            <w:tcW w:w="1010" w:type="dxa"/>
            <w:tcBorders>
              <w:left w:val="single" w:sz="8" w:space="0" w:color="000000"/>
            </w:tcBorders>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2</w:t>
            </w:r>
          </w:p>
        </w:tc>
        <w:tc>
          <w:tcPr>
            <w:tcW w:w="2470" w:type="dxa"/>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Spese in Conto Capitale</w:t>
            </w:r>
          </w:p>
        </w:tc>
        <w:tc>
          <w:tcPr>
            <w:tcW w:w="1575" w:type="dxa"/>
            <w:gridSpan w:val="2"/>
            <w:tcBorders>
              <w:left w:val="single" w:sz="8" w:space="0" w:color="000000"/>
              <w:right w:val="single" w:sz="8" w:space="0" w:color="000000"/>
            </w:tcBorders>
            <w:shd w:val="clear" w:color="auto" w:fill="auto"/>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23.020.618,18</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3</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Entrate Extratributarie</w:t>
            </w:r>
          </w:p>
        </w:tc>
        <w:tc>
          <w:tcPr>
            <w:tcW w:w="1534" w:type="dxa"/>
            <w:gridSpan w:val="2"/>
            <w:tcBorders>
              <w:lef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905.558,68</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sidRPr="00BA1FCC">
              <w:rPr>
                <w:rFonts w:eastAsia="Times New Roman" w:cs="Arial"/>
                <w:b/>
                <w:bCs/>
                <w:sz w:val="18"/>
                <w:szCs w:val="18"/>
              </w:rPr>
              <w:t> </w:t>
            </w:r>
          </w:p>
        </w:tc>
        <w:tc>
          <w:tcPr>
            <w:tcW w:w="1575" w:type="dxa"/>
            <w:gridSpan w:val="2"/>
            <w:tcBorders>
              <w:left w:val="single" w:sz="8" w:space="0" w:color="000000"/>
              <w:righ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sidRPr="00BA1FCC">
              <w:rPr>
                <w:rFonts w:eastAsia="Times New Roman" w:cs="Arial"/>
                <w:b/>
                <w:bCs/>
                <w:sz w:val="18"/>
                <w:szCs w:val="18"/>
              </w:rPr>
              <w:t> </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jc w:val="center"/>
              <w:rPr>
                <w:rFonts w:eastAsia="Times New Roman" w:cs="Arial"/>
                <w:sz w:val="18"/>
                <w:szCs w:val="18"/>
              </w:rPr>
            </w:pP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1071"/>
        </w:trPr>
        <w:tc>
          <w:tcPr>
            <w:tcW w:w="1041" w:type="dxa"/>
            <w:tcBorders>
              <w:left w:val="single" w:sz="8" w:space="0" w:color="000000"/>
            </w:tcBorders>
            <w:shd w:val="clear" w:color="auto" w:fill="auto"/>
          </w:tcPr>
          <w:p w:rsidR="008922D7" w:rsidRPr="00BA1FCC" w:rsidRDefault="008922D7" w:rsidP="00D63EAB">
            <w:pPr>
              <w:snapToGrid w:val="0"/>
              <w:spacing w:after="0" w:line="240" w:lineRule="auto"/>
              <w:jc w:val="center"/>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4</w:t>
            </w:r>
          </w:p>
        </w:tc>
        <w:tc>
          <w:tcPr>
            <w:tcW w:w="2438" w:type="dxa"/>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Entrate derivanti da alienazioni, da trasferimenti di capitale e da riscossioni di crediti</w:t>
            </w:r>
          </w:p>
        </w:tc>
        <w:tc>
          <w:tcPr>
            <w:tcW w:w="1534" w:type="dxa"/>
            <w:gridSpan w:val="2"/>
            <w:tcBorders>
              <w:lef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19.893.248,89</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271"/>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p>
        </w:tc>
        <w:tc>
          <w:tcPr>
            <w:tcW w:w="767" w:type="dxa"/>
            <w:tcBorders>
              <w:left w:val="single" w:sz="8" w:space="0" w:color="000000"/>
              <w:bottom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bottom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bottom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bottom w:val="single" w:sz="8" w:space="0" w:color="000000"/>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sidRPr="00BA1FCC">
              <w:rPr>
                <w:rFonts w:eastAsia="Times New Roman" w:cs="Arial"/>
                <w:b/>
                <w:bCs/>
                <w:sz w:val="18"/>
                <w:szCs w:val="18"/>
              </w:rPr>
              <w:t>Totale Entrate Finali</w:t>
            </w:r>
          </w:p>
        </w:tc>
        <w:tc>
          <w:tcPr>
            <w:tcW w:w="1534" w:type="dxa"/>
            <w:gridSpan w:val="2"/>
            <w:tcBorders>
              <w:lef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Pr>
                <w:rFonts w:eastAsia="Times New Roman" w:cs="Arial"/>
                <w:b/>
                <w:bCs/>
                <w:sz w:val="18"/>
                <w:szCs w:val="18"/>
              </w:rPr>
              <w:t>60.708.252,55</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sidRPr="00BA1FCC">
              <w:rPr>
                <w:rFonts w:eastAsia="Times New Roman" w:cs="Arial"/>
                <w:b/>
                <w:bCs/>
                <w:sz w:val="18"/>
                <w:szCs w:val="18"/>
              </w:rPr>
              <w:t>Totale Spese Finali</w:t>
            </w:r>
          </w:p>
        </w:tc>
        <w:tc>
          <w:tcPr>
            <w:tcW w:w="1575" w:type="dxa"/>
            <w:gridSpan w:val="2"/>
            <w:tcBorders>
              <w:top w:val="single" w:sz="8" w:space="0" w:color="000000"/>
              <w:left w:val="single" w:sz="8" w:space="0" w:color="000000"/>
              <w:righ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Pr>
                <w:rFonts w:eastAsia="Times New Roman" w:cs="Arial"/>
                <w:b/>
                <w:bCs/>
                <w:sz w:val="18"/>
                <w:szCs w:val="18"/>
              </w:rPr>
              <w:t>62.869.130,66</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513"/>
        </w:trPr>
        <w:tc>
          <w:tcPr>
            <w:tcW w:w="1041" w:type="dxa"/>
            <w:tcBorders>
              <w:left w:val="single" w:sz="8" w:space="0" w:color="000000"/>
            </w:tcBorders>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5</w:t>
            </w:r>
          </w:p>
        </w:tc>
        <w:tc>
          <w:tcPr>
            <w:tcW w:w="2438" w:type="dxa"/>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Entrate derivanti da accensioni di prestiti</w:t>
            </w:r>
          </w:p>
        </w:tc>
        <w:tc>
          <w:tcPr>
            <w:tcW w:w="1534" w:type="dxa"/>
            <w:gridSpan w:val="2"/>
            <w:tcBorders>
              <w:lef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0,00</w:t>
            </w:r>
          </w:p>
        </w:tc>
        <w:tc>
          <w:tcPr>
            <w:tcW w:w="1010" w:type="dxa"/>
            <w:tcBorders>
              <w:left w:val="single" w:sz="8" w:space="0" w:color="000000"/>
            </w:tcBorders>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3</w:t>
            </w:r>
          </w:p>
        </w:tc>
        <w:tc>
          <w:tcPr>
            <w:tcW w:w="2470" w:type="dxa"/>
            <w:shd w:val="clear" w:color="auto" w:fill="auto"/>
            <w:vAlign w:val="bottom"/>
          </w:tcPr>
          <w:p w:rsidR="008922D7" w:rsidRPr="00BA1FCC" w:rsidRDefault="008922D7" w:rsidP="00D63EAB">
            <w:pPr>
              <w:snapToGrid w:val="0"/>
              <w:spacing w:after="0"/>
              <w:rPr>
                <w:rFonts w:eastAsia="Times New Roman" w:cs="Arial"/>
                <w:sz w:val="18"/>
                <w:szCs w:val="18"/>
              </w:rPr>
            </w:pPr>
            <w:r w:rsidRPr="00BA1FCC">
              <w:rPr>
                <w:rFonts w:eastAsia="Times New Roman" w:cs="Arial"/>
                <w:sz w:val="18"/>
                <w:szCs w:val="18"/>
              </w:rPr>
              <w:t>Spese per Rimborso di Prestiti</w:t>
            </w:r>
          </w:p>
        </w:tc>
        <w:tc>
          <w:tcPr>
            <w:tcW w:w="1575" w:type="dxa"/>
            <w:gridSpan w:val="2"/>
            <w:tcBorders>
              <w:left w:val="single" w:sz="8" w:space="0" w:color="000000"/>
              <w:right w:val="single" w:sz="8" w:space="0" w:color="000000"/>
            </w:tcBorders>
            <w:shd w:val="clear" w:color="auto" w:fill="auto"/>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2.122.667,00</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513"/>
        </w:trPr>
        <w:tc>
          <w:tcPr>
            <w:tcW w:w="1041" w:type="dxa"/>
            <w:tcBorders>
              <w:left w:val="single" w:sz="8" w:space="0" w:color="000000"/>
            </w:tcBorders>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6</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Entrate da servizi per conto di terzi</w:t>
            </w:r>
          </w:p>
        </w:tc>
        <w:tc>
          <w:tcPr>
            <w:tcW w:w="1534" w:type="dxa"/>
            <w:gridSpan w:val="2"/>
            <w:tcBorders>
              <w:lef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4.97</w:t>
            </w:r>
            <w:r w:rsidRPr="00BA1FCC">
              <w:rPr>
                <w:rFonts w:eastAsia="Times New Roman" w:cs="Arial"/>
                <w:sz w:val="18"/>
                <w:szCs w:val="18"/>
              </w:rPr>
              <w:t>0.000,00</w:t>
            </w:r>
          </w:p>
        </w:tc>
        <w:tc>
          <w:tcPr>
            <w:tcW w:w="1010" w:type="dxa"/>
            <w:tcBorders>
              <w:left w:val="single" w:sz="8" w:space="0" w:color="000000"/>
            </w:tcBorders>
            <w:shd w:val="clear" w:color="auto" w:fill="auto"/>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b/>
                <w:bCs/>
                <w:sz w:val="18"/>
                <w:szCs w:val="18"/>
              </w:rPr>
              <w:t>Titolo</w:t>
            </w:r>
            <w:r w:rsidRPr="00BA1FCC">
              <w:rPr>
                <w:rFonts w:eastAsia="Times New Roman" w:cs="Arial"/>
                <w:sz w:val="18"/>
                <w:szCs w:val="18"/>
              </w:rPr>
              <w:t xml:space="preserve">  4</w:t>
            </w:r>
          </w:p>
        </w:tc>
        <w:tc>
          <w:tcPr>
            <w:tcW w:w="2470" w:type="dxa"/>
            <w:shd w:val="clear" w:color="auto" w:fill="auto"/>
            <w:vAlign w:val="bottom"/>
          </w:tcPr>
          <w:p w:rsidR="008922D7" w:rsidRPr="00BA1FCC" w:rsidRDefault="008922D7" w:rsidP="00D63EAB">
            <w:pPr>
              <w:snapToGrid w:val="0"/>
              <w:spacing w:after="0"/>
              <w:rPr>
                <w:rFonts w:eastAsia="Times New Roman" w:cs="Arial"/>
                <w:sz w:val="18"/>
                <w:szCs w:val="18"/>
              </w:rPr>
            </w:pPr>
            <w:r w:rsidRPr="00BA1FCC">
              <w:rPr>
                <w:rFonts w:eastAsia="Times New Roman" w:cs="Arial"/>
                <w:sz w:val="18"/>
                <w:szCs w:val="18"/>
              </w:rPr>
              <w:t>Spese per servizi per conto di terzi</w:t>
            </w:r>
          </w:p>
        </w:tc>
        <w:tc>
          <w:tcPr>
            <w:tcW w:w="1575" w:type="dxa"/>
            <w:gridSpan w:val="2"/>
            <w:tcBorders>
              <w:left w:val="single" w:sz="8" w:space="0" w:color="000000"/>
              <w:right w:val="single" w:sz="8" w:space="0" w:color="000000"/>
            </w:tcBorders>
            <w:shd w:val="clear" w:color="auto" w:fill="auto"/>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4.97</w:t>
            </w:r>
            <w:r w:rsidRPr="00BA1FCC">
              <w:rPr>
                <w:rFonts w:eastAsia="Times New Roman" w:cs="Arial"/>
                <w:sz w:val="18"/>
                <w:szCs w:val="18"/>
              </w:rPr>
              <w:t>0.000,00</w:t>
            </w:r>
          </w:p>
        </w:tc>
      </w:tr>
      <w:tr w:rsidR="008922D7" w:rsidRPr="00BA1FCC" w:rsidTr="00D63EAB">
        <w:trPr>
          <w:trHeight w:val="271"/>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p>
        </w:tc>
        <w:tc>
          <w:tcPr>
            <w:tcW w:w="767" w:type="dxa"/>
            <w:tcBorders>
              <w:left w:val="single" w:sz="8" w:space="0" w:color="000000"/>
              <w:bottom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bottom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bottom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bottom w:val="single" w:sz="8" w:space="0" w:color="000000"/>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498"/>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38" w:type="dxa"/>
            <w:shd w:val="clear" w:color="auto" w:fill="auto"/>
            <w:vAlign w:val="center"/>
          </w:tcPr>
          <w:p w:rsidR="008922D7" w:rsidRPr="00BA1FCC" w:rsidRDefault="008922D7" w:rsidP="00D63EAB">
            <w:pPr>
              <w:snapToGrid w:val="0"/>
              <w:spacing w:after="0" w:line="240" w:lineRule="auto"/>
              <w:jc w:val="right"/>
              <w:rPr>
                <w:rFonts w:eastAsia="Times New Roman" w:cs="Arial"/>
                <w:b/>
                <w:bCs/>
                <w:sz w:val="18"/>
                <w:szCs w:val="18"/>
              </w:rPr>
            </w:pPr>
            <w:r w:rsidRPr="00BA1FCC">
              <w:rPr>
                <w:rFonts w:eastAsia="Times New Roman" w:cs="Arial"/>
                <w:b/>
                <w:bCs/>
                <w:sz w:val="18"/>
                <w:szCs w:val="18"/>
              </w:rPr>
              <w:t>Totale</w:t>
            </w:r>
          </w:p>
        </w:tc>
        <w:tc>
          <w:tcPr>
            <w:tcW w:w="1534" w:type="dxa"/>
            <w:gridSpan w:val="2"/>
            <w:tcBorders>
              <w:top w:val="single" w:sz="8" w:space="0" w:color="000000"/>
              <w:left w:val="single" w:sz="8" w:space="0" w:color="000000"/>
              <w:bottom w:val="single" w:sz="8" w:space="0" w:color="000000"/>
            </w:tcBorders>
            <w:shd w:val="clear" w:color="auto" w:fill="auto"/>
            <w:vAlign w:val="center"/>
          </w:tcPr>
          <w:p w:rsidR="008922D7" w:rsidRPr="00BA1FCC" w:rsidRDefault="008922D7" w:rsidP="00D63EAB">
            <w:pPr>
              <w:snapToGrid w:val="0"/>
              <w:spacing w:after="0" w:line="240" w:lineRule="auto"/>
              <w:jc w:val="right"/>
              <w:rPr>
                <w:rFonts w:eastAsia="Times New Roman" w:cs="Arial"/>
                <w:b/>
                <w:bCs/>
                <w:sz w:val="18"/>
                <w:szCs w:val="18"/>
              </w:rPr>
            </w:pPr>
            <w:r>
              <w:rPr>
                <w:rFonts w:eastAsia="Times New Roman" w:cs="Arial"/>
                <w:b/>
                <w:bCs/>
                <w:sz w:val="18"/>
                <w:szCs w:val="18"/>
              </w:rPr>
              <w:t>65.678.252,55</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center"/>
          </w:tcPr>
          <w:p w:rsidR="008922D7" w:rsidRPr="00BA1FCC" w:rsidRDefault="008922D7" w:rsidP="00D63EAB">
            <w:pPr>
              <w:snapToGrid w:val="0"/>
              <w:spacing w:after="0" w:line="240" w:lineRule="auto"/>
              <w:jc w:val="right"/>
              <w:rPr>
                <w:rFonts w:eastAsia="Times New Roman" w:cs="Arial"/>
                <w:b/>
                <w:bCs/>
                <w:sz w:val="18"/>
                <w:szCs w:val="18"/>
              </w:rPr>
            </w:pPr>
            <w:r w:rsidRPr="00BA1FCC">
              <w:rPr>
                <w:rFonts w:eastAsia="Times New Roman" w:cs="Arial"/>
                <w:b/>
                <w:bCs/>
                <w:sz w:val="18"/>
                <w:szCs w:val="18"/>
              </w:rPr>
              <w:t>Totale</w:t>
            </w:r>
          </w:p>
        </w:tc>
        <w:tc>
          <w:tcPr>
            <w:tcW w:w="1575"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8922D7" w:rsidRPr="00BA1FCC" w:rsidRDefault="008922D7" w:rsidP="00D63EAB">
            <w:pPr>
              <w:snapToGrid w:val="0"/>
              <w:spacing w:after="0" w:line="240" w:lineRule="auto"/>
              <w:jc w:val="right"/>
              <w:rPr>
                <w:rFonts w:eastAsia="Times New Roman" w:cs="Arial"/>
                <w:b/>
                <w:bCs/>
                <w:sz w:val="18"/>
                <w:szCs w:val="18"/>
              </w:rPr>
            </w:pPr>
            <w:r>
              <w:rPr>
                <w:rFonts w:eastAsia="Times New Roman" w:cs="Arial"/>
                <w:b/>
                <w:bCs/>
                <w:sz w:val="18"/>
                <w:szCs w:val="18"/>
              </w:rPr>
              <w:t>69.961.797,66</w:t>
            </w:r>
          </w:p>
        </w:tc>
      </w:tr>
      <w:tr w:rsidR="008922D7" w:rsidRPr="00BA1FCC" w:rsidTr="00D63EAB">
        <w:trPr>
          <w:trHeight w:val="498"/>
        </w:trPr>
        <w:tc>
          <w:tcPr>
            <w:tcW w:w="3479" w:type="dxa"/>
            <w:gridSpan w:val="2"/>
            <w:tcBorders>
              <w:left w:val="single" w:sz="8" w:space="0" w:color="000000"/>
            </w:tcBorders>
            <w:shd w:val="clear" w:color="auto" w:fill="auto"/>
            <w:vAlign w:val="center"/>
          </w:tcPr>
          <w:p w:rsidR="008922D7" w:rsidRPr="00BA1FCC" w:rsidRDefault="008922D7" w:rsidP="00D63EAB">
            <w:pPr>
              <w:snapToGrid w:val="0"/>
              <w:spacing w:after="0" w:line="240" w:lineRule="auto"/>
              <w:jc w:val="center"/>
              <w:rPr>
                <w:rFonts w:eastAsia="Times New Roman" w:cs="Arial"/>
                <w:b/>
                <w:bCs/>
                <w:sz w:val="18"/>
                <w:szCs w:val="18"/>
              </w:rPr>
            </w:pPr>
            <w:r w:rsidRPr="00BA1FCC">
              <w:rPr>
                <w:rFonts w:eastAsia="Times New Roman" w:cs="Arial"/>
                <w:b/>
                <w:bCs/>
                <w:sz w:val="18"/>
                <w:szCs w:val="18"/>
              </w:rPr>
              <w:t>Avanzo di Amministrazione</w:t>
            </w:r>
          </w:p>
        </w:tc>
        <w:tc>
          <w:tcPr>
            <w:tcW w:w="1534" w:type="dxa"/>
            <w:gridSpan w:val="2"/>
            <w:tcBorders>
              <w:top w:val="single" w:sz="8" w:space="0" w:color="000000"/>
              <w:left w:val="single" w:sz="8" w:space="0" w:color="000000"/>
              <w:bottom w:val="single" w:sz="8" w:space="0" w:color="000000"/>
            </w:tcBorders>
            <w:shd w:val="clear" w:color="auto" w:fill="auto"/>
            <w:vAlign w:val="center"/>
          </w:tcPr>
          <w:p w:rsidR="008922D7" w:rsidRPr="00BA1FCC" w:rsidRDefault="008922D7" w:rsidP="00D63EAB">
            <w:pPr>
              <w:snapToGrid w:val="0"/>
              <w:spacing w:after="0" w:line="240" w:lineRule="auto"/>
              <w:jc w:val="right"/>
              <w:rPr>
                <w:rFonts w:eastAsia="Times New Roman" w:cs="Arial"/>
                <w:sz w:val="18"/>
                <w:szCs w:val="18"/>
              </w:rPr>
            </w:pPr>
            <w:r>
              <w:rPr>
                <w:rFonts w:eastAsia="Times New Roman" w:cs="Arial"/>
                <w:sz w:val="18"/>
                <w:szCs w:val="18"/>
              </w:rPr>
              <w:t>4.283.545,11</w:t>
            </w:r>
          </w:p>
        </w:tc>
        <w:tc>
          <w:tcPr>
            <w:tcW w:w="3479" w:type="dxa"/>
            <w:gridSpan w:val="2"/>
            <w:tcBorders>
              <w:left w:val="single" w:sz="8" w:space="0" w:color="000000"/>
            </w:tcBorders>
            <w:shd w:val="clear" w:color="auto" w:fill="auto"/>
            <w:vAlign w:val="center"/>
          </w:tcPr>
          <w:p w:rsidR="008922D7" w:rsidRPr="00BA1FCC" w:rsidRDefault="008922D7" w:rsidP="00D63EAB">
            <w:pPr>
              <w:snapToGrid w:val="0"/>
              <w:spacing w:after="0" w:line="240" w:lineRule="auto"/>
              <w:jc w:val="center"/>
              <w:rPr>
                <w:rFonts w:eastAsia="Times New Roman" w:cs="Arial"/>
                <w:b/>
                <w:bCs/>
                <w:sz w:val="18"/>
                <w:szCs w:val="18"/>
              </w:rPr>
            </w:pPr>
            <w:r w:rsidRPr="00BA1FCC">
              <w:rPr>
                <w:rFonts w:eastAsia="Times New Roman" w:cs="Arial"/>
                <w:b/>
                <w:bCs/>
                <w:sz w:val="18"/>
                <w:szCs w:val="18"/>
              </w:rPr>
              <w:t>Disavanzo di Amministrazione</w:t>
            </w:r>
          </w:p>
        </w:tc>
        <w:tc>
          <w:tcPr>
            <w:tcW w:w="1575"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sz w:val="18"/>
                <w:szCs w:val="18"/>
              </w:rPr>
            </w:pPr>
            <w:r w:rsidRPr="00BA1FCC">
              <w:rPr>
                <w:rFonts w:eastAsia="Times New Roman" w:cs="Arial"/>
                <w:sz w:val="18"/>
                <w:szCs w:val="18"/>
              </w:rPr>
              <w:t>0,00</w:t>
            </w:r>
          </w:p>
        </w:tc>
      </w:tr>
      <w:tr w:rsidR="008922D7" w:rsidRPr="00BA1FCC" w:rsidTr="00D63EAB">
        <w:trPr>
          <w:trHeight w:val="256"/>
        </w:trPr>
        <w:tc>
          <w:tcPr>
            <w:tcW w:w="1041"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38"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1010"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2470" w:type="dxa"/>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767" w:type="dxa"/>
            <w:tcBorders>
              <w:lef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c>
          <w:tcPr>
            <w:tcW w:w="808" w:type="dxa"/>
            <w:tcBorders>
              <w:right w:val="single" w:sz="8" w:space="0" w:color="000000"/>
            </w:tcBorders>
            <w:shd w:val="clear" w:color="auto" w:fill="auto"/>
            <w:vAlign w:val="bottom"/>
          </w:tcPr>
          <w:p w:rsidR="008922D7" w:rsidRPr="00BA1FCC" w:rsidRDefault="008922D7" w:rsidP="00D63EAB">
            <w:pPr>
              <w:snapToGrid w:val="0"/>
              <w:spacing w:after="0" w:line="240" w:lineRule="auto"/>
              <w:rPr>
                <w:rFonts w:eastAsia="Times New Roman" w:cs="Arial"/>
                <w:sz w:val="18"/>
                <w:szCs w:val="18"/>
              </w:rPr>
            </w:pPr>
            <w:r w:rsidRPr="00BA1FCC">
              <w:rPr>
                <w:rFonts w:eastAsia="Times New Roman" w:cs="Arial"/>
                <w:sz w:val="18"/>
                <w:szCs w:val="18"/>
              </w:rPr>
              <w:t> </w:t>
            </w:r>
          </w:p>
        </w:tc>
      </w:tr>
      <w:tr w:rsidR="008922D7" w:rsidRPr="00BA1FCC" w:rsidTr="00D63EAB">
        <w:trPr>
          <w:trHeight w:val="256"/>
        </w:trPr>
        <w:tc>
          <w:tcPr>
            <w:tcW w:w="3479" w:type="dxa"/>
            <w:gridSpan w:val="2"/>
            <w:tcBorders>
              <w:left w:val="single" w:sz="8" w:space="0" w:color="000000"/>
              <w:bottom w:val="single" w:sz="4" w:space="0" w:color="auto"/>
            </w:tcBorders>
            <w:shd w:val="clear" w:color="auto" w:fill="auto"/>
            <w:vAlign w:val="bottom"/>
          </w:tcPr>
          <w:p w:rsidR="008922D7" w:rsidRPr="00BA1FCC" w:rsidRDefault="008922D7" w:rsidP="00D63EAB">
            <w:pPr>
              <w:snapToGrid w:val="0"/>
              <w:spacing w:after="0" w:line="240" w:lineRule="auto"/>
              <w:jc w:val="center"/>
              <w:rPr>
                <w:rFonts w:eastAsia="Times New Roman" w:cs="Arial"/>
                <w:b/>
                <w:bCs/>
                <w:sz w:val="18"/>
                <w:szCs w:val="18"/>
              </w:rPr>
            </w:pPr>
            <w:r w:rsidRPr="00BA1FCC">
              <w:rPr>
                <w:rFonts w:eastAsia="Times New Roman" w:cs="Arial"/>
                <w:b/>
                <w:bCs/>
                <w:sz w:val="18"/>
                <w:szCs w:val="18"/>
              </w:rPr>
              <w:t>Totale Complessivo Entrate</w:t>
            </w:r>
          </w:p>
        </w:tc>
        <w:tc>
          <w:tcPr>
            <w:tcW w:w="1534" w:type="dxa"/>
            <w:gridSpan w:val="2"/>
            <w:tcBorders>
              <w:left w:val="single" w:sz="8" w:space="0" w:color="000000"/>
              <w:bottom w:val="single" w:sz="4" w:space="0" w:color="auto"/>
            </w:tcBorders>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Pr>
                <w:rFonts w:eastAsia="Times New Roman" w:cs="Arial"/>
                <w:b/>
                <w:bCs/>
                <w:sz w:val="18"/>
                <w:szCs w:val="18"/>
              </w:rPr>
              <w:t>69.961.797,66</w:t>
            </w:r>
          </w:p>
        </w:tc>
        <w:tc>
          <w:tcPr>
            <w:tcW w:w="3479" w:type="dxa"/>
            <w:gridSpan w:val="2"/>
            <w:tcBorders>
              <w:left w:val="single" w:sz="8" w:space="0" w:color="000000"/>
              <w:bottom w:val="single" w:sz="4" w:space="0" w:color="auto"/>
            </w:tcBorders>
            <w:shd w:val="clear" w:color="auto" w:fill="auto"/>
            <w:vAlign w:val="bottom"/>
          </w:tcPr>
          <w:p w:rsidR="008922D7" w:rsidRPr="00BA1FCC" w:rsidRDefault="008922D7" w:rsidP="00D63EAB">
            <w:pPr>
              <w:snapToGrid w:val="0"/>
              <w:spacing w:after="0" w:line="240" w:lineRule="auto"/>
              <w:jc w:val="center"/>
              <w:rPr>
                <w:rFonts w:eastAsia="Times New Roman" w:cs="Arial"/>
                <w:b/>
                <w:bCs/>
                <w:sz w:val="18"/>
                <w:szCs w:val="18"/>
              </w:rPr>
            </w:pPr>
            <w:r w:rsidRPr="00BA1FCC">
              <w:rPr>
                <w:rFonts w:eastAsia="Times New Roman" w:cs="Arial"/>
                <w:b/>
                <w:bCs/>
                <w:sz w:val="18"/>
                <w:szCs w:val="18"/>
              </w:rPr>
              <w:t>Totale Complessivo Spese</w:t>
            </w:r>
          </w:p>
        </w:tc>
        <w:tc>
          <w:tcPr>
            <w:tcW w:w="1575" w:type="dxa"/>
            <w:gridSpan w:val="2"/>
            <w:tcBorders>
              <w:left w:val="single" w:sz="8" w:space="0" w:color="000000"/>
              <w:bottom w:val="single" w:sz="4" w:space="0" w:color="auto"/>
              <w:right w:val="single" w:sz="8" w:space="0" w:color="000000"/>
            </w:tcBorders>
            <w:shd w:val="clear" w:color="auto" w:fill="auto"/>
            <w:vAlign w:val="bottom"/>
          </w:tcPr>
          <w:p w:rsidR="008922D7" w:rsidRPr="00BA1FCC" w:rsidRDefault="008922D7" w:rsidP="00D63EAB">
            <w:pPr>
              <w:snapToGrid w:val="0"/>
              <w:spacing w:after="0" w:line="240" w:lineRule="auto"/>
              <w:jc w:val="right"/>
              <w:rPr>
                <w:rFonts w:eastAsia="Times New Roman" w:cs="Arial"/>
                <w:b/>
                <w:bCs/>
                <w:sz w:val="18"/>
                <w:szCs w:val="18"/>
              </w:rPr>
            </w:pPr>
            <w:r>
              <w:rPr>
                <w:rFonts w:eastAsia="Times New Roman" w:cs="Arial"/>
                <w:b/>
                <w:bCs/>
                <w:sz w:val="18"/>
                <w:szCs w:val="18"/>
              </w:rPr>
              <w:t>69.961.797,66</w:t>
            </w:r>
          </w:p>
        </w:tc>
      </w:tr>
    </w:tbl>
    <w:p w:rsidR="008922D7" w:rsidRDefault="008922D7" w:rsidP="008922D7">
      <w:pPr>
        <w:spacing w:line="360" w:lineRule="auto"/>
        <w:ind w:right="567"/>
        <w:jc w:val="both"/>
      </w:pPr>
    </w:p>
    <w:p w:rsidR="008922D7" w:rsidRPr="00B87DBA" w:rsidRDefault="008922D7" w:rsidP="008922D7">
      <w:pPr>
        <w:spacing w:line="360" w:lineRule="auto"/>
        <w:ind w:right="-2"/>
        <w:jc w:val="both"/>
        <w:rPr>
          <w:sz w:val="20"/>
          <w:szCs w:val="20"/>
        </w:rPr>
      </w:pPr>
      <w:r w:rsidRPr="00B87DBA">
        <w:rPr>
          <w:sz w:val="20"/>
          <w:szCs w:val="20"/>
        </w:rPr>
        <w:t xml:space="preserve">Entrando nel merito delle risultanze del conto del bilancio 2011, i dati finanziari più significativi della gestione di competenza, classificati per titoli, risorse od interventi e distinti in capitoli secondo il </w:t>
      </w:r>
      <w:proofErr w:type="spellStart"/>
      <w:r w:rsidRPr="00B87DBA">
        <w:rPr>
          <w:sz w:val="20"/>
          <w:szCs w:val="20"/>
        </w:rPr>
        <w:t>P.E.G.</w:t>
      </w:r>
      <w:proofErr w:type="spellEnd"/>
      <w:r w:rsidRPr="00B87DBA">
        <w:rPr>
          <w:sz w:val="20"/>
          <w:szCs w:val="20"/>
        </w:rPr>
        <w:t>, riguardano:</w:t>
      </w:r>
    </w:p>
    <w:p w:rsidR="008922D7" w:rsidRPr="00B87DBA" w:rsidRDefault="008922D7" w:rsidP="008922D7">
      <w:pPr>
        <w:numPr>
          <w:ilvl w:val="0"/>
          <w:numId w:val="2"/>
        </w:numPr>
        <w:suppressAutoHyphens w:val="0"/>
        <w:spacing w:after="0" w:line="360" w:lineRule="auto"/>
        <w:ind w:left="0" w:right="567" w:firstLine="0"/>
        <w:jc w:val="both"/>
        <w:rPr>
          <w:sz w:val="20"/>
          <w:szCs w:val="20"/>
        </w:rPr>
      </w:pPr>
      <w:r w:rsidRPr="00B87DBA">
        <w:rPr>
          <w:sz w:val="20"/>
          <w:szCs w:val="20"/>
        </w:rPr>
        <w:t>per l’Entrata, le previsioni definitive, gli stanziamenti definitivi, gli accertamenti e le riscossioni;</w:t>
      </w:r>
    </w:p>
    <w:p w:rsidR="008922D7" w:rsidRPr="00B87DBA" w:rsidRDefault="008922D7" w:rsidP="008922D7">
      <w:pPr>
        <w:numPr>
          <w:ilvl w:val="0"/>
          <w:numId w:val="2"/>
        </w:numPr>
        <w:suppressAutoHyphens w:val="0"/>
        <w:spacing w:after="0" w:line="360" w:lineRule="auto"/>
        <w:ind w:left="0" w:right="567" w:firstLine="0"/>
        <w:rPr>
          <w:sz w:val="20"/>
          <w:szCs w:val="20"/>
        </w:rPr>
      </w:pPr>
      <w:r w:rsidRPr="00B87DBA">
        <w:rPr>
          <w:sz w:val="20"/>
          <w:szCs w:val="20"/>
        </w:rPr>
        <w:t>per la Spesa, gli stanziamenti definitivi, gli impegni assunti e i pagamenti effettuati.</w:t>
      </w:r>
    </w:p>
    <w:p w:rsidR="008922D7" w:rsidRPr="00B87DBA" w:rsidRDefault="008922D7" w:rsidP="008922D7">
      <w:pPr>
        <w:spacing w:line="360" w:lineRule="auto"/>
        <w:ind w:right="567"/>
        <w:rPr>
          <w:sz w:val="20"/>
          <w:szCs w:val="20"/>
        </w:rPr>
      </w:pPr>
      <w:r w:rsidRPr="00B87DBA">
        <w:rPr>
          <w:sz w:val="20"/>
          <w:szCs w:val="20"/>
        </w:rPr>
        <w:t>Nel corso della gestione sono stati effettuati, in particolare,  i seguenti controlli  :</w:t>
      </w:r>
    </w:p>
    <w:p w:rsidR="008922D7" w:rsidRPr="00B87DBA" w:rsidRDefault="008922D7" w:rsidP="008922D7">
      <w:pPr>
        <w:numPr>
          <w:ilvl w:val="0"/>
          <w:numId w:val="3"/>
        </w:numPr>
        <w:tabs>
          <w:tab w:val="left" w:pos="709"/>
        </w:tabs>
        <w:suppressAutoHyphens w:val="0"/>
        <w:spacing w:after="0" w:line="360" w:lineRule="auto"/>
        <w:jc w:val="both"/>
        <w:rPr>
          <w:sz w:val="20"/>
          <w:szCs w:val="20"/>
        </w:rPr>
      </w:pPr>
      <w:r w:rsidRPr="00B87DBA">
        <w:rPr>
          <w:sz w:val="20"/>
          <w:szCs w:val="20"/>
        </w:rPr>
        <w:t>la regolarità delle procedure per la contabilizzazione delle entrate e delle spese in conformità alle disposizioni di legge e regolamentari;</w:t>
      </w:r>
    </w:p>
    <w:p w:rsidR="008922D7" w:rsidRPr="00B87DBA" w:rsidRDefault="008922D7" w:rsidP="008922D7">
      <w:pPr>
        <w:numPr>
          <w:ilvl w:val="0"/>
          <w:numId w:val="3"/>
        </w:numPr>
        <w:tabs>
          <w:tab w:val="left" w:pos="709"/>
        </w:tabs>
        <w:suppressAutoHyphens w:val="0"/>
        <w:spacing w:after="0" w:line="360" w:lineRule="auto"/>
        <w:jc w:val="both"/>
        <w:rPr>
          <w:sz w:val="20"/>
          <w:szCs w:val="20"/>
        </w:rPr>
      </w:pPr>
      <w:r w:rsidRPr="00B87DBA">
        <w:rPr>
          <w:sz w:val="20"/>
          <w:szCs w:val="20"/>
        </w:rPr>
        <w:t xml:space="preserve">la corrispondenza tra i dati riportati nel conto del bilancio con quelli risultanti dalle scritture contabili;  </w:t>
      </w:r>
    </w:p>
    <w:p w:rsidR="008922D7" w:rsidRPr="00B87DBA" w:rsidRDefault="008922D7" w:rsidP="008922D7">
      <w:pPr>
        <w:numPr>
          <w:ilvl w:val="0"/>
          <w:numId w:val="3"/>
        </w:numPr>
        <w:tabs>
          <w:tab w:val="left" w:pos="709"/>
        </w:tabs>
        <w:suppressAutoHyphens w:val="0"/>
        <w:spacing w:after="0" w:line="360" w:lineRule="auto"/>
        <w:jc w:val="both"/>
        <w:rPr>
          <w:sz w:val="20"/>
          <w:szCs w:val="20"/>
        </w:rPr>
      </w:pPr>
      <w:r w:rsidRPr="00B87DBA">
        <w:rPr>
          <w:sz w:val="20"/>
          <w:szCs w:val="20"/>
        </w:rPr>
        <w:t>il rispetto del principio della competenza finanziaria nella rilevazione degli accertamenti e degli impegni;</w:t>
      </w:r>
    </w:p>
    <w:p w:rsidR="008922D7" w:rsidRPr="00B87DBA" w:rsidRDefault="008922D7" w:rsidP="008922D7">
      <w:pPr>
        <w:numPr>
          <w:ilvl w:val="0"/>
          <w:numId w:val="3"/>
        </w:numPr>
        <w:tabs>
          <w:tab w:val="left" w:pos="709"/>
        </w:tabs>
        <w:suppressAutoHyphens w:val="0"/>
        <w:spacing w:after="0" w:line="360" w:lineRule="auto"/>
        <w:jc w:val="both"/>
        <w:rPr>
          <w:sz w:val="20"/>
          <w:szCs w:val="20"/>
        </w:rPr>
      </w:pPr>
      <w:r w:rsidRPr="00B87DBA">
        <w:rPr>
          <w:sz w:val="20"/>
          <w:szCs w:val="20"/>
        </w:rPr>
        <w:t>la corretta rappresentazione del conto del bilancio nei riepiloghi e nei risultati di cassa e di competenza finanziaria;</w:t>
      </w:r>
    </w:p>
    <w:p w:rsidR="008922D7" w:rsidRPr="00B87DBA" w:rsidRDefault="008922D7" w:rsidP="008922D7">
      <w:pPr>
        <w:tabs>
          <w:tab w:val="left" w:pos="709"/>
        </w:tabs>
        <w:suppressAutoHyphens w:val="0"/>
        <w:spacing w:after="0" w:line="360" w:lineRule="auto"/>
        <w:jc w:val="both"/>
        <w:rPr>
          <w:sz w:val="20"/>
          <w:szCs w:val="20"/>
        </w:rPr>
      </w:pPr>
    </w:p>
    <w:p w:rsidR="008922D7" w:rsidRDefault="008922D7" w:rsidP="008922D7">
      <w:pPr>
        <w:tabs>
          <w:tab w:val="left" w:pos="709"/>
        </w:tabs>
        <w:suppressAutoHyphens w:val="0"/>
        <w:spacing w:after="0" w:line="360" w:lineRule="auto"/>
        <w:jc w:val="both"/>
      </w:pPr>
    </w:p>
    <w:p w:rsidR="008922D7" w:rsidRPr="000221E0" w:rsidRDefault="008922D7" w:rsidP="008922D7">
      <w:pPr>
        <w:numPr>
          <w:ilvl w:val="0"/>
          <w:numId w:val="3"/>
        </w:numPr>
        <w:tabs>
          <w:tab w:val="left" w:pos="709"/>
        </w:tabs>
        <w:suppressAutoHyphens w:val="0"/>
        <w:spacing w:after="0" w:line="360" w:lineRule="auto"/>
        <w:jc w:val="both"/>
        <w:rPr>
          <w:sz w:val="20"/>
          <w:szCs w:val="20"/>
        </w:rPr>
      </w:pPr>
      <w:r w:rsidRPr="000221E0">
        <w:rPr>
          <w:sz w:val="20"/>
          <w:szCs w:val="20"/>
        </w:rPr>
        <w:t xml:space="preserve">la corrispondenza tra le entrate a destinazione specifica e gli impegni di spesa assunti in base alle relative disposizioni di legge;  </w:t>
      </w:r>
    </w:p>
    <w:p w:rsidR="008922D7" w:rsidRPr="000221E0" w:rsidRDefault="008922D7" w:rsidP="008922D7">
      <w:pPr>
        <w:numPr>
          <w:ilvl w:val="0"/>
          <w:numId w:val="3"/>
        </w:numPr>
        <w:tabs>
          <w:tab w:val="left" w:pos="709"/>
        </w:tabs>
        <w:suppressAutoHyphens w:val="0"/>
        <w:spacing w:after="0" w:line="360" w:lineRule="auto"/>
        <w:jc w:val="both"/>
        <w:rPr>
          <w:sz w:val="20"/>
          <w:szCs w:val="20"/>
        </w:rPr>
      </w:pPr>
      <w:r w:rsidRPr="000221E0">
        <w:rPr>
          <w:sz w:val="20"/>
          <w:szCs w:val="20"/>
        </w:rPr>
        <w:t>l’equivalenza tra gli accertamenti di entrata e gli impegni di spesa dei capitoli relativi ai servizi per conto terzi;</w:t>
      </w:r>
    </w:p>
    <w:p w:rsidR="008922D7" w:rsidRPr="000221E0" w:rsidRDefault="008922D7" w:rsidP="008922D7">
      <w:pPr>
        <w:numPr>
          <w:ilvl w:val="0"/>
          <w:numId w:val="3"/>
        </w:numPr>
        <w:suppressAutoHyphens w:val="0"/>
        <w:spacing w:after="0" w:line="360" w:lineRule="auto"/>
        <w:jc w:val="both"/>
        <w:rPr>
          <w:sz w:val="20"/>
          <w:szCs w:val="20"/>
        </w:rPr>
      </w:pPr>
      <w:r w:rsidRPr="000221E0">
        <w:rPr>
          <w:sz w:val="20"/>
          <w:szCs w:val="20"/>
        </w:rPr>
        <w:t xml:space="preserve">che l’ente ha provveduto alla verifica degli obiettivi e degli equilibri finanziari ai sensi dell’art. 193 del </w:t>
      </w:r>
      <w:proofErr w:type="spellStart"/>
      <w:r w:rsidRPr="000221E0">
        <w:rPr>
          <w:sz w:val="20"/>
          <w:szCs w:val="20"/>
        </w:rPr>
        <w:t>T.U.E.L</w:t>
      </w:r>
      <w:proofErr w:type="spellEnd"/>
      <w:r w:rsidRPr="000221E0">
        <w:rPr>
          <w:sz w:val="20"/>
          <w:szCs w:val="20"/>
        </w:rPr>
        <w:t xml:space="preserve">  in data 30/09/2011  con delibera n. 54</w:t>
      </w:r>
    </w:p>
    <w:p w:rsidR="008922D7" w:rsidRPr="000221E0" w:rsidRDefault="008922D7" w:rsidP="008922D7">
      <w:pPr>
        <w:numPr>
          <w:ilvl w:val="0"/>
          <w:numId w:val="3"/>
        </w:numPr>
        <w:tabs>
          <w:tab w:val="clear" w:pos="1072"/>
          <w:tab w:val="num" w:pos="1068"/>
        </w:tabs>
        <w:suppressAutoHyphens w:val="0"/>
        <w:spacing w:after="0" w:line="360" w:lineRule="auto"/>
        <w:ind w:right="567"/>
        <w:jc w:val="both"/>
        <w:rPr>
          <w:sz w:val="20"/>
          <w:szCs w:val="20"/>
        </w:rPr>
      </w:pPr>
      <w:r w:rsidRPr="000221E0">
        <w:rPr>
          <w:sz w:val="20"/>
          <w:szCs w:val="20"/>
        </w:rPr>
        <w:t>il rispetto, nel  riconoscimento di debiti fuori bilancio da parte dell''Ente per euro    238.779,00 dell'art. 194 del TUEL;</w:t>
      </w:r>
    </w:p>
    <w:p w:rsidR="008922D7" w:rsidRPr="000221E0" w:rsidRDefault="008922D7" w:rsidP="008922D7">
      <w:pPr>
        <w:numPr>
          <w:ilvl w:val="0"/>
          <w:numId w:val="3"/>
        </w:numPr>
        <w:suppressAutoHyphens w:val="0"/>
        <w:spacing w:after="0" w:line="360" w:lineRule="auto"/>
        <w:ind w:left="993" w:right="-2" w:hanging="284"/>
        <w:jc w:val="both"/>
        <w:rPr>
          <w:sz w:val="20"/>
          <w:szCs w:val="20"/>
        </w:rPr>
      </w:pPr>
      <w:r w:rsidRPr="000221E0">
        <w:rPr>
          <w:sz w:val="20"/>
          <w:szCs w:val="20"/>
        </w:rPr>
        <w:t xml:space="preserve"> la rispondenza del numero di mandati  e delle reversali emesse, rispettivamente n 9373   e n 6396 con i titoli presi in carico dal tesoriere </w:t>
      </w:r>
      <w:r w:rsidR="002F032A">
        <w:rPr>
          <w:sz w:val="20"/>
          <w:szCs w:val="20"/>
        </w:rPr>
        <w:t xml:space="preserve">Banca di Credito </w:t>
      </w:r>
      <w:proofErr w:type="spellStart"/>
      <w:r w:rsidR="002F032A">
        <w:rPr>
          <w:sz w:val="20"/>
          <w:szCs w:val="20"/>
        </w:rPr>
        <w:t>Coperativo</w:t>
      </w:r>
      <w:proofErr w:type="spellEnd"/>
      <w:r w:rsidR="002F032A">
        <w:rPr>
          <w:sz w:val="20"/>
          <w:szCs w:val="20"/>
        </w:rPr>
        <w:t xml:space="preserve"> di Arborea</w:t>
      </w:r>
      <w:r w:rsidRPr="000221E0">
        <w:rPr>
          <w:sz w:val="20"/>
          <w:szCs w:val="20"/>
        </w:rPr>
        <w:t xml:space="preserve"> e che i mandati di pagamento risultino emessi in forza di provvedimenti esecutivi e siano regolarmente estinti; </w:t>
      </w:r>
    </w:p>
    <w:p w:rsidR="008922D7" w:rsidRPr="000221E0" w:rsidRDefault="008922D7" w:rsidP="008922D7">
      <w:pPr>
        <w:numPr>
          <w:ilvl w:val="0"/>
          <w:numId w:val="3"/>
        </w:numPr>
        <w:tabs>
          <w:tab w:val="clear" w:pos="1072"/>
          <w:tab w:val="num" w:pos="993"/>
        </w:tabs>
        <w:suppressAutoHyphens w:val="0"/>
        <w:spacing w:after="0" w:line="360" w:lineRule="auto"/>
        <w:jc w:val="both"/>
        <w:rPr>
          <w:sz w:val="20"/>
          <w:szCs w:val="20"/>
        </w:rPr>
      </w:pPr>
      <w:r w:rsidRPr="000221E0">
        <w:rPr>
          <w:sz w:val="20"/>
          <w:szCs w:val="20"/>
        </w:rPr>
        <w:t xml:space="preserve">gli utilizzi, in termini di cassa, di entrate aventi specifica destinazione per il finanziamento di spese correnti sono stati effettuati nel rispetto di quanto previsto dall’articolo 195 del </w:t>
      </w:r>
      <w:proofErr w:type="spellStart"/>
      <w:r w:rsidRPr="000221E0">
        <w:rPr>
          <w:sz w:val="20"/>
          <w:szCs w:val="20"/>
        </w:rPr>
        <w:t>T.U.E.L.</w:t>
      </w:r>
      <w:proofErr w:type="spellEnd"/>
      <w:r w:rsidRPr="000221E0">
        <w:rPr>
          <w:sz w:val="20"/>
          <w:szCs w:val="20"/>
        </w:rPr>
        <w:t xml:space="preserve"> e al 31.12.2011 risultano  parzialmente reintegrati;</w:t>
      </w:r>
    </w:p>
    <w:p w:rsidR="008922D7" w:rsidRPr="000221E0" w:rsidRDefault="008922D7" w:rsidP="008922D7">
      <w:pPr>
        <w:numPr>
          <w:ilvl w:val="0"/>
          <w:numId w:val="3"/>
        </w:numPr>
        <w:suppressAutoHyphens w:val="0"/>
        <w:spacing w:after="0" w:line="360" w:lineRule="auto"/>
        <w:jc w:val="both"/>
        <w:rPr>
          <w:sz w:val="20"/>
          <w:szCs w:val="20"/>
        </w:rPr>
      </w:pPr>
      <w:r w:rsidRPr="000221E0">
        <w:rPr>
          <w:sz w:val="20"/>
          <w:szCs w:val="20"/>
        </w:rPr>
        <w:t xml:space="preserve">il controllo della presentazione del  conto degli agenti contabili a materia , in attuazione degli articoli 226 e 233 del </w:t>
      </w:r>
      <w:proofErr w:type="spellStart"/>
      <w:r w:rsidRPr="000221E0">
        <w:rPr>
          <w:sz w:val="20"/>
          <w:szCs w:val="20"/>
        </w:rPr>
        <w:t>T.U.E.L</w:t>
      </w:r>
      <w:proofErr w:type="spellEnd"/>
      <w:r w:rsidRPr="000221E0">
        <w:rPr>
          <w:sz w:val="20"/>
          <w:szCs w:val="20"/>
        </w:rPr>
        <w:t xml:space="preserve">   specificando che non sono pervenuti al Settore Programmazione Finanziaria e Bilancio,  mentre risulta regolarmente presentato nei termini il conto dell’Economo approvato con determina del dirigente del Settore Programmazione Finanziaria e Bilancio </w:t>
      </w:r>
    </w:p>
    <w:p w:rsidR="008922D7" w:rsidRPr="000221E0" w:rsidRDefault="008922D7" w:rsidP="008922D7">
      <w:pPr>
        <w:numPr>
          <w:ilvl w:val="0"/>
          <w:numId w:val="3"/>
        </w:numPr>
        <w:suppressAutoHyphens w:val="0"/>
        <w:spacing w:after="0" w:line="360" w:lineRule="auto"/>
        <w:jc w:val="both"/>
        <w:rPr>
          <w:color w:val="000000"/>
          <w:sz w:val="20"/>
          <w:szCs w:val="20"/>
        </w:rPr>
      </w:pPr>
      <w:r w:rsidRPr="000221E0">
        <w:rPr>
          <w:color w:val="000000"/>
          <w:sz w:val="20"/>
          <w:szCs w:val="20"/>
        </w:rPr>
        <w:t xml:space="preserve">risulta regolarmente pervenuto il Riepilogo annuale Entrate/Uscite </w:t>
      </w:r>
      <w:proofErr w:type="spellStart"/>
      <w:r w:rsidRPr="000221E0">
        <w:rPr>
          <w:color w:val="000000"/>
          <w:sz w:val="20"/>
          <w:szCs w:val="20"/>
        </w:rPr>
        <w:t>I.P.T.</w:t>
      </w:r>
      <w:proofErr w:type="spellEnd"/>
      <w:r w:rsidRPr="000221E0">
        <w:rPr>
          <w:color w:val="000000"/>
          <w:sz w:val="20"/>
          <w:szCs w:val="20"/>
        </w:rPr>
        <w:t xml:space="preserve"> da parte del Pubblico Registro Automobilistico Ufficio Provinciale ACI di Oristano.</w:t>
      </w:r>
    </w:p>
    <w:p w:rsidR="008922D7" w:rsidRPr="00D358F9" w:rsidRDefault="008922D7" w:rsidP="008922D7">
      <w:pPr>
        <w:suppressAutoHyphens w:val="0"/>
        <w:spacing w:after="0" w:line="360" w:lineRule="auto"/>
        <w:jc w:val="both"/>
        <w:rPr>
          <w:color w:val="FF0000"/>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61301C" w:rsidRDefault="0061301C" w:rsidP="00CD03F5">
      <w:pPr>
        <w:suppressAutoHyphens w:val="0"/>
        <w:spacing w:after="0" w:line="240" w:lineRule="auto"/>
        <w:jc w:val="center"/>
        <w:rPr>
          <w:color w:val="000000"/>
          <w:sz w:val="28"/>
          <w:szCs w:val="28"/>
        </w:rPr>
      </w:pPr>
    </w:p>
    <w:p w:rsidR="008922D7" w:rsidRDefault="008922D7" w:rsidP="00CD03F5">
      <w:pPr>
        <w:suppressAutoHyphens w:val="0"/>
        <w:spacing w:after="0" w:line="240" w:lineRule="auto"/>
        <w:jc w:val="center"/>
        <w:rPr>
          <w:rFonts w:ascii="Andalus" w:hAnsi="Andalus" w:cs="Andalus"/>
          <w:color w:val="000000"/>
          <w:sz w:val="20"/>
          <w:szCs w:val="20"/>
        </w:rPr>
      </w:pPr>
    </w:p>
    <w:p w:rsidR="008922D7" w:rsidRDefault="008922D7" w:rsidP="00CD03F5">
      <w:pPr>
        <w:suppressAutoHyphens w:val="0"/>
        <w:spacing w:after="0" w:line="240" w:lineRule="auto"/>
        <w:jc w:val="center"/>
        <w:rPr>
          <w:rFonts w:ascii="Andalus" w:hAnsi="Andalus" w:cs="Andalus"/>
          <w:color w:val="000000"/>
          <w:sz w:val="20"/>
          <w:szCs w:val="20"/>
        </w:rPr>
      </w:pPr>
    </w:p>
    <w:p w:rsidR="008922D7" w:rsidRDefault="008922D7" w:rsidP="00CD03F5">
      <w:pPr>
        <w:suppressAutoHyphens w:val="0"/>
        <w:spacing w:after="0" w:line="240" w:lineRule="auto"/>
        <w:jc w:val="center"/>
        <w:rPr>
          <w:rFonts w:ascii="Andalus" w:hAnsi="Andalus" w:cs="Andalus"/>
          <w:color w:val="000000"/>
          <w:sz w:val="20"/>
          <w:szCs w:val="20"/>
        </w:rPr>
      </w:pPr>
    </w:p>
    <w:p w:rsidR="008922D7" w:rsidRDefault="008922D7" w:rsidP="00CD03F5">
      <w:pPr>
        <w:suppressAutoHyphens w:val="0"/>
        <w:spacing w:after="0" w:line="240" w:lineRule="auto"/>
        <w:jc w:val="center"/>
        <w:rPr>
          <w:rFonts w:ascii="Andalus" w:hAnsi="Andalus" w:cs="Andalus"/>
          <w:color w:val="000000"/>
          <w:sz w:val="20"/>
          <w:szCs w:val="20"/>
        </w:rPr>
      </w:pPr>
    </w:p>
    <w:p w:rsidR="008922D7" w:rsidRDefault="008922D7" w:rsidP="00CD03F5">
      <w:pPr>
        <w:suppressAutoHyphens w:val="0"/>
        <w:spacing w:after="0" w:line="240" w:lineRule="auto"/>
        <w:jc w:val="center"/>
        <w:rPr>
          <w:rFonts w:ascii="Andalus" w:hAnsi="Andalus" w:cs="Andalus"/>
          <w:color w:val="000000"/>
          <w:sz w:val="20"/>
          <w:szCs w:val="20"/>
        </w:rPr>
      </w:pPr>
    </w:p>
    <w:p w:rsidR="00D63EAB" w:rsidRDefault="00D63EAB" w:rsidP="00CD03F5">
      <w:pPr>
        <w:suppressAutoHyphens w:val="0"/>
        <w:spacing w:after="0" w:line="240" w:lineRule="auto"/>
        <w:jc w:val="center"/>
        <w:rPr>
          <w:rFonts w:ascii="Andalus" w:hAnsi="Andalus" w:cs="Andalus"/>
          <w:color w:val="000000"/>
          <w:sz w:val="20"/>
          <w:szCs w:val="20"/>
        </w:rPr>
      </w:pPr>
    </w:p>
    <w:p w:rsidR="002F032A" w:rsidRDefault="002F032A" w:rsidP="00CD03F5">
      <w:pPr>
        <w:suppressAutoHyphens w:val="0"/>
        <w:spacing w:after="0" w:line="240" w:lineRule="auto"/>
        <w:jc w:val="center"/>
        <w:rPr>
          <w:rFonts w:ascii="Andalus" w:hAnsi="Andalus" w:cs="Andalus"/>
          <w:color w:val="000000"/>
          <w:sz w:val="20"/>
          <w:szCs w:val="20"/>
        </w:rPr>
      </w:pPr>
    </w:p>
    <w:p w:rsidR="002F032A" w:rsidRDefault="002F032A" w:rsidP="00CD03F5">
      <w:pPr>
        <w:suppressAutoHyphens w:val="0"/>
        <w:spacing w:after="0" w:line="240" w:lineRule="auto"/>
        <w:jc w:val="center"/>
        <w:rPr>
          <w:rFonts w:ascii="Andalus" w:hAnsi="Andalus" w:cs="Andalus"/>
          <w:color w:val="000000"/>
          <w:sz w:val="20"/>
          <w:szCs w:val="20"/>
        </w:rPr>
      </w:pPr>
    </w:p>
    <w:p w:rsidR="00D63EAB" w:rsidRDefault="00D63EAB" w:rsidP="00CD03F5">
      <w:pPr>
        <w:suppressAutoHyphens w:val="0"/>
        <w:spacing w:after="0" w:line="240" w:lineRule="auto"/>
        <w:jc w:val="center"/>
        <w:rPr>
          <w:rFonts w:ascii="Andalus" w:hAnsi="Andalus" w:cs="Andalus"/>
          <w:color w:val="000000"/>
          <w:sz w:val="20"/>
          <w:szCs w:val="20"/>
        </w:rPr>
      </w:pPr>
    </w:p>
    <w:p w:rsidR="00D63EAB" w:rsidRDefault="00D63EAB" w:rsidP="00CD03F5">
      <w:pPr>
        <w:suppressAutoHyphens w:val="0"/>
        <w:spacing w:after="0" w:line="240" w:lineRule="auto"/>
        <w:jc w:val="center"/>
        <w:rPr>
          <w:rFonts w:ascii="Andalus" w:hAnsi="Andalus" w:cs="Andalus"/>
          <w:color w:val="000000"/>
          <w:sz w:val="20"/>
          <w:szCs w:val="20"/>
        </w:rPr>
      </w:pPr>
    </w:p>
    <w:p w:rsidR="00D63EAB" w:rsidRDefault="00D63EAB" w:rsidP="00CD03F5">
      <w:pPr>
        <w:suppressAutoHyphens w:val="0"/>
        <w:spacing w:after="0" w:line="240" w:lineRule="auto"/>
        <w:jc w:val="center"/>
        <w:rPr>
          <w:rFonts w:ascii="Andalus" w:hAnsi="Andalus" w:cs="Andalus"/>
          <w:color w:val="000000"/>
          <w:sz w:val="20"/>
          <w:szCs w:val="20"/>
        </w:rPr>
      </w:pPr>
    </w:p>
    <w:p w:rsidR="00747A0F" w:rsidRPr="0061301C" w:rsidRDefault="00CD03F5" w:rsidP="00CD03F5">
      <w:pPr>
        <w:suppressAutoHyphens w:val="0"/>
        <w:spacing w:after="0" w:line="240" w:lineRule="auto"/>
        <w:jc w:val="center"/>
        <w:rPr>
          <w:rFonts w:ascii="Andalus" w:hAnsi="Andalus" w:cs="Andalus"/>
          <w:color w:val="000000"/>
          <w:sz w:val="20"/>
          <w:szCs w:val="20"/>
        </w:rPr>
      </w:pPr>
      <w:r w:rsidRPr="0061301C">
        <w:rPr>
          <w:rFonts w:ascii="Andalus" w:hAnsi="Andalus" w:cs="Andalus"/>
          <w:color w:val="000000"/>
          <w:sz w:val="20"/>
          <w:szCs w:val="20"/>
        </w:rPr>
        <w:lastRenderedPageBreak/>
        <w:t>ANALISI DELLE ENTRATE - RIEPILOGO PER TITOLI</w:t>
      </w:r>
    </w:p>
    <w:p w:rsidR="002D52CB" w:rsidRPr="0061301C" w:rsidRDefault="00747A0F" w:rsidP="002D52CB">
      <w:pPr>
        <w:suppressAutoHyphens w:val="0"/>
        <w:spacing w:after="0"/>
        <w:rPr>
          <w:rFonts w:ascii="Andalus" w:hAnsi="Andalus" w:cs="Andalus"/>
          <w:color w:val="000000"/>
          <w:sz w:val="20"/>
          <w:szCs w:val="20"/>
        </w:rPr>
      </w:pPr>
      <w:r w:rsidRPr="0061301C">
        <w:rPr>
          <w:rFonts w:ascii="Andalus" w:hAnsi="Andalus" w:cs="Andalus"/>
          <w:color w:val="FF0000"/>
          <w:sz w:val="20"/>
          <w:szCs w:val="20"/>
        </w:rPr>
        <w:tab/>
      </w:r>
    </w:p>
    <w:p w:rsidR="00C94484" w:rsidRPr="0061301C" w:rsidRDefault="00C94484" w:rsidP="002D52CB">
      <w:pPr>
        <w:suppressAutoHyphens w:val="0"/>
        <w:autoSpaceDE w:val="0"/>
        <w:autoSpaceDN w:val="0"/>
        <w:adjustRightInd w:val="0"/>
        <w:jc w:val="both"/>
        <w:rPr>
          <w:rFonts w:ascii="Andalus" w:hAnsi="Andalus" w:cs="Andalus"/>
          <w:sz w:val="20"/>
          <w:szCs w:val="20"/>
          <w:lang w:eastAsia="it-IT"/>
        </w:rPr>
      </w:pPr>
      <w:r w:rsidRPr="0061301C">
        <w:rPr>
          <w:rFonts w:ascii="Andalus" w:hAnsi="Andalus" w:cs="Andalus"/>
          <w:sz w:val="20"/>
          <w:szCs w:val="20"/>
          <w:lang w:eastAsia="it-IT"/>
        </w:rPr>
        <w:t>Le risorse di cui l'ente  dispone sono costituite da entrate tributarie, da trasferimenti correnti dallo Stato e dalla Regione, da entrate extra-tributarie, da alienazioni di beni e trasferimenti in conto capitale, da accensione di prestiti.</w:t>
      </w:r>
    </w:p>
    <w:p w:rsidR="00C94484" w:rsidRPr="0061301C" w:rsidRDefault="00C94484" w:rsidP="00C94484">
      <w:pPr>
        <w:spacing w:line="360" w:lineRule="auto"/>
        <w:rPr>
          <w:rFonts w:ascii="Andalus" w:hAnsi="Andalus" w:cs="Andalus"/>
          <w:bCs/>
          <w:sz w:val="20"/>
          <w:szCs w:val="20"/>
        </w:rPr>
      </w:pPr>
      <w:r w:rsidRPr="0061301C">
        <w:rPr>
          <w:rFonts w:ascii="Andalus" w:hAnsi="Andalus" w:cs="Andalus"/>
          <w:bCs/>
          <w:sz w:val="20"/>
          <w:szCs w:val="20"/>
        </w:rPr>
        <w:tab/>
        <w:t>Questo dato deve necessariamente essere accompagnato da una lettura dei diversi titoli che compongono le entrate, secondo la loro natura e la fonte di provenienza:</w:t>
      </w:r>
    </w:p>
    <w:p w:rsidR="00C94484" w:rsidRPr="0061301C" w:rsidRDefault="00C94484" w:rsidP="00EB068B">
      <w:pPr>
        <w:ind w:right="284"/>
        <w:jc w:val="both"/>
        <w:rPr>
          <w:rFonts w:ascii="Andalus" w:hAnsi="Andalus" w:cs="Andalus"/>
          <w:sz w:val="20"/>
          <w:szCs w:val="20"/>
        </w:rPr>
      </w:pPr>
      <w:r w:rsidRPr="0061301C">
        <w:rPr>
          <w:rFonts w:ascii="Andalus" w:hAnsi="Andalus" w:cs="Andalus"/>
          <w:bCs/>
          <w:sz w:val="20"/>
          <w:szCs w:val="20"/>
        </w:rPr>
        <w:t>Titolo I</w:t>
      </w:r>
      <w:r w:rsidRPr="0061301C">
        <w:rPr>
          <w:rFonts w:ascii="Andalus" w:hAnsi="Andalus" w:cs="Andalus"/>
          <w:sz w:val="20"/>
          <w:szCs w:val="20"/>
        </w:rPr>
        <w:t xml:space="preserve"> - Entrate Tributarie</w:t>
      </w:r>
    </w:p>
    <w:p w:rsidR="00C94484" w:rsidRPr="0061301C" w:rsidRDefault="00C94484" w:rsidP="002D52CB">
      <w:pPr>
        <w:ind w:right="284"/>
        <w:rPr>
          <w:rFonts w:ascii="Andalus" w:hAnsi="Andalus" w:cs="Andalus"/>
          <w:sz w:val="20"/>
          <w:szCs w:val="20"/>
        </w:rPr>
      </w:pPr>
      <w:r w:rsidRPr="0061301C">
        <w:rPr>
          <w:rFonts w:ascii="Andalus" w:hAnsi="Andalus" w:cs="Andalus"/>
          <w:bCs/>
          <w:sz w:val="20"/>
          <w:szCs w:val="20"/>
        </w:rPr>
        <w:t>Titolo II</w:t>
      </w:r>
      <w:r w:rsidRPr="0061301C">
        <w:rPr>
          <w:rFonts w:ascii="Andalus" w:hAnsi="Andalus" w:cs="Andalus"/>
          <w:sz w:val="20"/>
          <w:szCs w:val="20"/>
        </w:rPr>
        <w:t xml:space="preserve"> - Entrate derivanti da contributi e trasferimenti correnti dallo Stato, dalla Regione anche per funzioni delegate e  da organismi comunitari.</w:t>
      </w:r>
    </w:p>
    <w:p w:rsidR="00C94484" w:rsidRPr="0061301C" w:rsidRDefault="00C94484" w:rsidP="00EB068B">
      <w:pPr>
        <w:ind w:right="284"/>
        <w:jc w:val="both"/>
        <w:rPr>
          <w:rFonts w:ascii="Andalus" w:hAnsi="Andalus" w:cs="Andalus"/>
          <w:sz w:val="20"/>
          <w:szCs w:val="20"/>
        </w:rPr>
      </w:pPr>
      <w:r w:rsidRPr="0061301C">
        <w:rPr>
          <w:rFonts w:ascii="Andalus" w:hAnsi="Andalus" w:cs="Andalus"/>
          <w:bCs/>
          <w:sz w:val="20"/>
          <w:szCs w:val="20"/>
        </w:rPr>
        <w:t>Titolo III</w:t>
      </w:r>
      <w:r w:rsidRPr="0061301C">
        <w:rPr>
          <w:rFonts w:ascii="Andalus" w:hAnsi="Andalus" w:cs="Andalus"/>
          <w:sz w:val="20"/>
          <w:szCs w:val="20"/>
        </w:rPr>
        <w:t xml:space="preserve">  -  Entrate extratributarie.</w:t>
      </w:r>
    </w:p>
    <w:p w:rsidR="00C94484" w:rsidRPr="0061301C" w:rsidRDefault="00C94484" w:rsidP="00EB068B">
      <w:pPr>
        <w:ind w:right="284"/>
        <w:jc w:val="both"/>
        <w:rPr>
          <w:rFonts w:ascii="Andalus" w:hAnsi="Andalus" w:cs="Andalus"/>
          <w:sz w:val="20"/>
          <w:szCs w:val="20"/>
        </w:rPr>
      </w:pPr>
      <w:r w:rsidRPr="0061301C">
        <w:rPr>
          <w:rFonts w:ascii="Andalus" w:hAnsi="Andalus" w:cs="Andalus"/>
          <w:bCs/>
          <w:sz w:val="20"/>
          <w:szCs w:val="20"/>
        </w:rPr>
        <w:t>Titolo IV</w:t>
      </w:r>
      <w:r w:rsidRPr="0061301C">
        <w:rPr>
          <w:rFonts w:ascii="Andalus" w:hAnsi="Andalus" w:cs="Andalus"/>
          <w:sz w:val="20"/>
          <w:szCs w:val="20"/>
        </w:rPr>
        <w:t xml:space="preserve"> - Entrate derivanti da alienazioni, trasferimenti di capitale e riscossione di crediti</w:t>
      </w:r>
    </w:p>
    <w:p w:rsidR="00C94484" w:rsidRPr="0061301C" w:rsidRDefault="00C94484" w:rsidP="00EB068B">
      <w:pPr>
        <w:ind w:right="284"/>
        <w:jc w:val="both"/>
        <w:rPr>
          <w:rFonts w:ascii="Andalus" w:hAnsi="Andalus" w:cs="Andalus"/>
          <w:sz w:val="20"/>
          <w:szCs w:val="20"/>
        </w:rPr>
      </w:pPr>
      <w:r w:rsidRPr="0061301C">
        <w:rPr>
          <w:rFonts w:ascii="Andalus" w:hAnsi="Andalus" w:cs="Andalus"/>
          <w:bCs/>
          <w:sz w:val="20"/>
          <w:szCs w:val="20"/>
        </w:rPr>
        <w:t>Titolo V</w:t>
      </w:r>
      <w:r w:rsidRPr="0061301C">
        <w:rPr>
          <w:rFonts w:ascii="Andalus" w:hAnsi="Andalus" w:cs="Andalus"/>
          <w:sz w:val="20"/>
          <w:szCs w:val="20"/>
        </w:rPr>
        <w:t xml:space="preserve">  -  Entrate derivanti da accensione di prestiti</w:t>
      </w:r>
    </w:p>
    <w:p w:rsidR="00D63EAB" w:rsidRDefault="00C94484" w:rsidP="002F032A">
      <w:pPr>
        <w:ind w:right="284"/>
        <w:jc w:val="both"/>
        <w:rPr>
          <w:rFonts w:cs="Arial"/>
          <w:sz w:val="24"/>
          <w:szCs w:val="24"/>
        </w:rPr>
      </w:pPr>
      <w:r w:rsidRPr="0061301C">
        <w:rPr>
          <w:rFonts w:ascii="Andalus" w:hAnsi="Andalus" w:cs="Andalus"/>
          <w:bCs/>
          <w:sz w:val="20"/>
          <w:szCs w:val="20"/>
        </w:rPr>
        <w:t xml:space="preserve">Titolo </w:t>
      </w:r>
      <w:proofErr w:type="spellStart"/>
      <w:r w:rsidRPr="0061301C">
        <w:rPr>
          <w:rFonts w:ascii="Andalus" w:hAnsi="Andalus" w:cs="Andalus"/>
          <w:bCs/>
          <w:sz w:val="20"/>
          <w:szCs w:val="20"/>
        </w:rPr>
        <w:t>VI</w:t>
      </w:r>
      <w:proofErr w:type="spellEnd"/>
      <w:r w:rsidRPr="0061301C">
        <w:rPr>
          <w:rFonts w:ascii="Andalus" w:hAnsi="Andalus" w:cs="Andalus"/>
          <w:sz w:val="20"/>
          <w:szCs w:val="20"/>
        </w:rPr>
        <w:t xml:space="preserve">   -  Servizi per cont</w:t>
      </w:r>
      <w:r w:rsidR="00765C15" w:rsidRPr="0061301C">
        <w:rPr>
          <w:rFonts w:ascii="Andalus" w:hAnsi="Andalus" w:cs="Andalus"/>
          <w:sz w:val="20"/>
          <w:szCs w:val="20"/>
        </w:rPr>
        <w:t>o di terzi</w:t>
      </w:r>
    </w:p>
    <w:p w:rsidR="00803EA5" w:rsidRPr="0061301C" w:rsidRDefault="002D52CB" w:rsidP="002D52CB">
      <w:pPr>
        <w:ind w:right="284"/>
        <w:jc w:val="center"/>
        <w:rPr>
          <w:rFonts w:cs="Arial"/>
          <w:sz w:val="20"/>
          <w:szCs w:val="20"/>
        </w:rPr>
      </w:pPr>
      <w:r w:rsidRPr="0061301C">
        <w:rPr>
          <w:rFonts w:cs="Arial"/>
          <w:sz w:val="20"/>
          <w:szCs w:val="20"/>
        </w:rPr>
        <w:t>SITUAZIONE GENERALE DEL BILANCIO PARTE ENTRATE</w:t>
      </w:r>
    </w:p>
    <w:p w:rsidR="00C464DA" w:rsidRDefault="00A50F2E" w:rsidP="00765C15">
      <w:pPr>
        <w:ind w:right="284"/>
        <w:jc w:val="center"/>
        <w:rPr>
          <w:rFonts w:cs="Arial"/>
          <w:sz w:val="24"/>
          <w:szCs w:val="24"/>
        </w:rPr>
      </w:pPr>
      <w:r w:rsidRPr="0061301C">
        <w:rPr>
          <w:rFonts w:cs="Arial"/>
          <w:sz w:val="20"/>
          <w:szCs w:val="20"/>
        </w:rPr>
        <w:fldChar w:fldCharType="begin"/>
      </w:r>
      <w:r w:rsidR="002654F0" w:rsidRPr="0061301C">
        <w:rPr>
          <w:rFonts w:cs="Arial"/>
          <w:sz w:val="20"/>
          <w:szCs w:val="20"/>
        </w:rPr>
        <w:instrText xml:space="preserve"> LINK Excel.Sheet.8 "\\\\srvfs01\\Programmazione_Finanziaria_Bilancio\\AREA COMUNE RAGIONERIA\\Grazia Loi\\Riepilogo Bilancio entrate.xlsx!Foglio2!R4C2:R13C7" "" \a \p \* MERGEFORMAT </w:instrText>
      </w:r>
      <w:r w:rsidRPr="0061301C">
        <w:rPr>
          <w:rFonts w:cs="Arial"/>
          <w:sz w:val="20"/>
          <w:szCs w:val="20"/>
        </w:rPr>
        <w:fldChar w:fldCharType="separate"/>
      </w:r>
      <w:r w:rsidR="006D5FA4" w:rsidRPr="00A50F2E">
        <w:rPr>
          <w:rFonts w:cs="Arial"/>
          <w:sz w:val="20"/>
          <w:szCs w:val="20"/>
        </w:rPr>
        <w:object w:dxaOrig="16897" w:dyaOrig="100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9.8pt;height:303.6pt">
            <v:imagedata r:id="rId8" o:title=""/>
          </v:shape>
        </w:object>
      </w:r>
      <w:r w:rsidRPr="0061301C">
        <w:rPr>
          <w:rFonts w:cs="Arial"/>
          <w:sz w:val="20"/>
          <w:szCs w:val="20"/>
        </w:rPr>
        <w:fldChar w:fldCharType="end"/>
      </w:r>
    </w:p>
    <w:p w:rsidR="00C94484" w:rsidRPr="00DF5C5E" w:rsidRDefault="00C94484" w:rsidP="00C94484">
      <w:pPr>
        <w:tabs>
          <w:tab w:val="left" w:pos="284"/>
        </w:tabs>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Nel prospetto seguente vengono evidenziate le tipologie di entrata specificate  per Titoli, le percentuali di composizione delle stesse rispetto al totale delle previsioni definitive, gli accertamenti e  le riscossioni effettuati per titoli con le incidenze percentuali, </w:t>
      </w:r>
      <w:proofErr w:type="spellStart"/>
      <w:r w:rsidRPr="00DF5C5E">
        <w:rPr>
          <w:rFonts w:ascii="Andalus" w:hAnsi="Andalus" w:cs="Andalus"/>
          <w:sz w:val="20"/>
          <w:szCs w:val="20"/>
          <w:lang w:eastAsia="it-IT"/>
        </w:rPr>
        <w:t>nonchè</w:t>
      </w:r>
      <w:proofErr w:type="spellEnd"/>
      <w:r w:rsidRPr="00DF5C5E">
        <w:rPr>
          <w:rFonts w:ascii="Andalus" w:hAnsi="Andalus" w:cs="Andalus"/>
          <w:sz w:val="20"/>
          <w:szCs w:val="20"/>
          <w:lang w:eastAsia="it-IT"/>
        </w:rPr>
        <w:t xml:space="preserve"> dei residui di competenza.</w:t>
      </w:r>
    </w:p>
    <w:p w:rsidR="00C94484" w:rsidRDefault="0061301C" w:rsidP="00803EA5">
      <w:pPr>
        <w:spacing w:line="360" w:lineRule="auto"/>
        <w:jc w:val="center"/>
        <w:rPr>
          <w:rFonts w:cs="Arial"/>
          <w:sz w:val="24"/>
          <w:szCs w:val="24"/>
        </w:rPr>
      </w:pPr>
      <w:r>
        <w:rPr>
          <w:rFonts w:cs="Arial"/>
          <w:sz w:val="24"/>
          <w:szCs w:val="24"/>
        </w:rPr>
        <w:lastRenderedPageBreak/>
        <w:t xml:space="preserve"> </w:t>
      </w:r>
      <w:r w:rsidR="00A50F2E">
        <w:rPr>
          <w:rFonts w:cs="Arial"/>
          <w:sz w:val="24"/>
          <w:szCs w:val="24"/>
        </w:rPr>
        <w:fldChar w:fldCharType="begin"/>
      </w:r>
      <w:r w:rsidR="002654F0">
        <w:rPr>
          <w:rFonts w:cs="Arial"/>
          <w:sz w:val="24"/>
          <w:szCs w:val="24"/>
        </w:rPr>
        <w:instrText xml:space="preserve"> LINK Excel.Sheet.8 "\\\\srvfs01\\Programmazione_Finanziaria_Bilancio\\AREA COMUNE RAGIONERIA\\ENTRATE RENDICONTO 2011\\ENTRATE - COMPETENZA 20010 -ST-ACC-RISC.xls!Foglio3!R5C3:R15C11" "" \a \p \* MERGEFORMAT </w:instrText>
      </w:r>
      <w:r w:rsidR="00A50F2E">
        <w:rPr>
          <w:rFonts w:cs="Arial"/>
          <w:sz w:val="24"/>
          <w:szCs w:val="24"/>
        </w:rPr>
        <w:fldChar w:fldCharType="separate"/>
      </w:r>
      <w:r w:rsidR="006D5FA4" w:rsidRPr="00A50F2E">
        <w:rPr>
          <w:rFonts w:cs="Arial"/>
          <w:sz w:val="24"/>
          <w:szCs w:val="24"/>
        </w:rPr>
        <w:object w:dxaOrig="14614" w:dyaOrig="10353">
          <v:shape id="_x0000_i1026" type="#_x0000_t75" style="width:522.6pt;height:315.6pt" o:bordertopcolor="this">
            <v:imagedata r:id="rId9" o:title=""/>
            <w10:bordertop type="single" width="4"/>
          </v:shape>
        </w:object>
      </w:r>
      <w:r w:rsidR="00A50F2E">
        <w:rPr>
          <w:rFonts w:cs="Arial"/>
          <w:sz w:val="24"/>
          <w:szCs w:val="24"/>
        </w:rPr>
        <w:fldChar w:fldCharType="end"/>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Dall'analisi dei dati si rileva che in totale, le Previsioni Definitive degli stanziamenti di bilancio sono state di € 65.678.252,55, gli Accertamenti € 55.858.351,76, le Riscossioni € 37.312.442,98, i Residui di competenza € 18.545.908,78. </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Le risorse maggiori (somme accertate) sono date dai trasferimenti correnti dello Stato e dalla Regione (52,39 %), a cui seguono poi quelle costituite dai trasferimenti di capitale (20,89%) e dalle entrate tributarie (18,02%). Le entrate di natura extratributaria sono state di modesta entità e rappresentano solo l’1,49%. Nel corso dell’anno 2011, così come nell'anno precedente, non si è fatto ricorso ad operazioni di indebitamento. </w:t>
      </w:r>
    </w:p>
    <w:p w:rsidR="00C94484" w:rsidRDefault="00C94484" w:rsidP="00C94484">
      <w:pPr>
        <w:spacing w:line="360" w:lineRule="auto"/>
        <w:jc w:val="both"/>
        <w:rPr>
          <w:rFonts w:cs="Arial"/>
          <w:sz w:val="24"/>
          <w:szCs w:val="24"/>
        </w:rPr>
      </w:pPr>
    </w:p>
    <w:p w:rsidR="00720D41" w:rsidRDefault="00720D41" w:rsidP="00C94484">
      <w:pPr>
        <w:spacing w:line="360" w:lineRule="auto"/>
        <w:jc w:val="both"/>
        <w:rPr>
          <w:rFonts w:cs="Arial"/>
          <w:sz w:val="24"/>
          <w:szCs w:val="24"/>
        </w:rPr>
      </w:pPr>
    </w:p>
    <w:p w:rsidR="00720D41" w:rsidRDefault="00720D41" w:rsidP="00C94484">
      <w:pPr>
        <w:spacing w:line="360" w:lineRule="auto"/>
        <w:jc w:val="both"/>
        <w:rPr>
          <w:rFonts w:cs="Arial"/>
          <w:sz w:val="24"/>
          <w:szCs w:val="24"/>
        </w:rPr>
      </w:pPr>
    </w:p>
    <w:p w:rsidR="00720D41" w:rsidRDefault="00720D41" w:rsidP="00C94484">
      <w:pPr>
        <w:spacing w:line="360" w:lineRule="auto"/>
        <w:jc w:val="both"/>
        <w:rPr>
          <w:rFonts w:cs="Arial"/>
          <w:sz w:val="24"/>
          <w:szCs w:val="24"/>
        </w:rPr>
      </w:pPr>
    </w:p>
    <w:p w:rsidR="00C94484" w:rsidRDefault="00C94484" w:rsidP="00C94484">
      <w:pPr>
        <w:spacing w:line="360" w:lineRule="auto"/>
        <w:jc w:val="both"/>
        <w:rPr>
          <w:rFonts w:cs="Arial"/>
          <w:sz w:val="24"/>
          <w:szCs w:val="24"/>
        </w:rPr>
      </w:pPr>
    </w:p>
    <w:p w:rsidR="0061301C" w:rsidRDefault="0061301C" w:rsidP="00C94484">
      <w:pPr>
        <w:spacing w:line="360" w:lineRule="auto"/>
        <w:jc w:val="center"/>
        <w:rPr>
          <w:sz w:val="24"/>
          <w:szCs w:val="24"/>
        </w:rPr>
      </w:pPr>
    </w:p>
    <w:p w:rsidR="00DF5C5E" w:rsidRDefault="00DF5C5E" w:rsidP="00C94484">
      <w:pPr>
        <w:spacing w:line="360" w:lineRule="auto"/>
        <w:jc w:val="center"/>
        <w:rPr>
          <w:rFonts w:ascii="Andalus" w:hAnsi="Andalus" w:cs="Andalus"/>
          <w:sz w:val="20"/>
          <w:szCs w:val="20"/>
          <w:lang w:eastAsia="it-IT"/>
        </w:rPr>
      </w:pPr>
    </w:p>
    <w:p w:rsidR="00C94484" w:rsidRPr="00DF5C5E" w:rsidRDefault="00C94484" w:rsidP="00C94484">
      <w:pPr>
        <w:spacing w:line="360" w:lineRule="auto"/>
        <w:jc w:val="center"/>
        <w:rPr>
          <w:rFonts w:ascii="Andalus" w:hAnsi="Andalus" w:cs="Andalus"/>
          <w:sz w:val="20"/>
          <w:szCs w:val="20"/>
          <w:lang w:eastAsia="it-IT"/>
        </w:rPr>
      </w:pPr>
      <w:r w:rsidRPr="00DF5C5E">
        <w:rPr>
          <w:rFonts w:ascii="Andalus" w:hAnsi="Andalus" w:cs="Andalus"/>
          <w:sz w:val="20"/>
          <w:szCs w:val="20"/>
          <w:lang w:eastAsia="it-IT"/>
        </w:rPr>
        <w:lastRenderedPageBreak/>
        <w:t>I grafici seguenti specificano meglio l'andamento delle entrate nel corso dell'anno 2011.</w:t>
      </w:r>
    </w:p>
    <w:p w:rsidR="00C94484" w:rsidRDefault="00C94484" w:rsidP="00C94484">
      <w:pPr>
        <w:spacing w:line="360" w:lineRule="auto"/>
        <w:jc w:val="center"/>
        <w:rPr>
          <w:sz w:val="24"/>
          <w:szCs w:val="24"/>
        </w:rPr>
      </w:pPr>
    </w:p>
    <w:p w:rsidR="00C94484" w:rsidRDefault="00A50F2E" w:rsidP="007C608E">
      <w:pPr>
        <w:spacing w:line="360" w:lineRule="auto"/>
        <w:jc w:val="center"/>
        <w:rPr>
          <w:sz w:val="24"/>
          <w:szCs w:val="24"/>
        </w:rPr>
      </w:pPr>
      <w:r>
        <w:rPr>
          <w:noProof/>
          <w:sz w:val="24"/>
          <w:szCs w:val="24"/>
          <w:lang w:eastAsia="it-IT"/>
        </w:rPr>
        <w:fldChar w:fldCharType="begin"/>
      </w:r>
      <w:r w:rsidR="002654F0">
        <w:rPr>
          <w:noProof/>
          <w:sz w:val="24"/>
          <w:szCs w:val="24"/>
          <w:lang w:eastAsia="it-IT"/>
        </w:rPr>
        <w:instrText xml:space="preserve"> LINK Excel.Sheet.8 "\\\\srvfs01\\Programmazione_Finanziaria_Bilancio\\AREA COMUNE RAGIONERIA\\ENTRATE RENDICONTO 2011\\ENTRATE - COMPETENZA 20010 -ST-ACC-RISC.xls!ENTR-COMP-RES (2)![ENTRATE - COMPETENZA 20010 -ST-ACC-RISC.xls]ENTR-COMP-RES (2) Chart 6" "" \a \p \* MERGEFORMAT </w:instrText>
      </w:r>
      <w:r>
        <w:rPr>
          <w:noProof/>
          <w:sz w:val="24"/>
          <w:szCs w:val="24"/>
          <w:lang w:eastAsia="it-IT"/>
        </w:rPr>
        <w:fldChar w:fldCharType="separate"/>
      </w:r>
      <w:r w:rsidR="006D5FA4" w:rsidRPr="00A50F2E">
        <w:rPr>
          <w:noProof/>
          <w:sz w:val="24"/>
          <w:szCs w:val="24"/>
          <w:lang w:eastAsia="it-IT"/>
        </w:rPr>
        <w:object w:dxaOrig="15115" w:dyaOrig="6816">
          <v:shape id="_x0000_i1027" type="#_x0000_t75" style="width:482.4pt;height:204.6pt">
            <v:imagedata r:id="rId10" o:title=""/>
          </v:shape>
        </w:object>
      </w:r>
      <w:r>
        <w:rPr>
          <w:noProof/>
          <w:sz w:val="24"/>
          <w:szCs w:val="24"/>
          <w:lang w:eastAsia="it-IT"/>
        </w:rPr>
        <w:fldChar w:fldCharType="end"/>
      </w:r>
    </w:p>
    <w:p w:rsidR="00C94484" w:rsidRDefault="00C94484" w:rsidP="00C94484">
      <w:pPr>
        <w:spacing w:line="360" w:lineRule="auto"/>
        <w:jc w:val="center"/>
        <w:rPr>
          <w:sz w:val="24"/>
          <w:szCs w:val="24"/>
        </w:rPr>
      </w:pPr>
    </w:p>
    <w:p w:rsidR="00C94484" w:rsidRDefault="00C94484" w:rsidP="00C94484">
      <w:pPr>
        <w:spacing w:line="360" w:lineRule="auto"/>
        <w:jc w:val="center"/>
        <w:rPr>
          <w:sz w:val="24"/>
          <w:szCs w:val="24"/>
        </w:rPr>
      </w:pPr>
    </w:p>
    <w:p w:rsidR="00C94484" w:rsidRDefault="00A50F2E" w:rsidP="004854F7">
      <w:pPr>
        <w:spacing w:line="360" w:lineRule="auto"/>
        <w:rPr>
          <w:sz w:val="24"/>
          <w:szCs w:val="24"/>
        </w:rPr>
      </w:pPr>
      <w:r>
        <w:rPr>
          <w:sz w:val="24"/>
          <w:szCs w:val="24"/>
        </w:rPr>
        <w:fldChar w:fldCharType="begin"/>
      </w:r>
      <w:r w:rsidR="002654F0">
        <w:rPr>
          <w:sz w:val="24"/>
          <w:szCs w:val="24"/>
        </w:rPr>
        <w:instrText xml:space="preserve"> LINK Excel.Sheet.8 "\\\\srvfs01\\Programmazione_Finanziaria_Bilancio\\AREA COMUNE RAGIONERIA\\ENTRATE RENDICONTO 2011\\CONTO RESIDUI.xlsx!Foglio4![CONTO RESIDUI.xlsx]Foglio4 Grafico 1" "" \a \p \* MERGEFORMAT </w:instrText>
      </w:r>
      <w:r>
        <w:rPr>
          <w:sz w:val="24"/>
          <w:szCs w:val="24"/>
        </w:rPr>
        <w:fldChar w:fldCharType="separate"/>
      </w:r>
      <w:r w:rsidR="006D5FA4" w:rsidRPr="00A50F2E">
        <w:rPr>
          <w:sz w:val="24"/>
          <w:szCs w:val="24"/>
        </w:rPr>
        <w:object w:dxaOrig="16637" w:dyaOrig="7395">
          <v:shape id="_x0000_i1028" type="#_x0000_t75" style="width:498pt;height:222pt">
            <v:imagedata r:id="rId11" o:title=""/>
          </v:shape>
        </w:object>
      </w:r>
      <w:r>
        <w:rPr>
          <w:sz w:val="24"/>
          <w:szCs w:val="24"/>
        </w:rPr>
        <w:fldChar w:fldCharType="end"/>
      </w:r>
    </w:p>
    <w:p w:rsidR="00C94484" w:rsidRDefault="00C94484" w:rsidP="00C94484">
      <w:pPr>
        <w:spacing w:line="360" w:lineRule="auto"/>
        <w:jc w:val="center"/>
        <w:rPr>
          <w:sz w:val="24"/>
          <w:szCs w:val="24"/>
        </w:rPr>
      </w:pPr>
    </w:p>
    <w:p w:rsidR="00C94484" w:rsidRDefault="00A50F2E" w:rsidP="004854F7">
      <w:pPr>
        <w:spacing w:line="360" w:lineRule="auto"/>
        <w:jc w:val="center"/>
        <w:rPr>
          <w:sz w:val="24"/>
          <w:szCs w:val="24"/>
        </w:rPr>
      </w:pPr>
      <w:r>
        <w:rPr>
          <w:noProof/>
          <w:sz w:val="24"/>
          <w:szCs w:val="24"/>
          <w:lang w:eastAsia="it-IT"/>
        </w:rPr>
        <w:lastRenderedPageBreak/>
        <w:fldChar w:fldCharType="begin"/>
      </w:r>
      <w:r w:rsidR="002654F0">
        <w:rPr>
          <w:noProof/>
          <w:sz w:val="24"/>
          <w:szCs w:val="24"/>
          <w:lang w:eastAsia="it-IT"/>
        </w:rPr>
        <w:instrText xml:space="preserve"> LINK Excel.Sheet.8 "\\\\srvfs01\\Programmazione_Finanziaria_Bilancio\\AREA COMUNE RAGIONERIA\\ENTRATE RENDICONTO 2011\\ENTRATE - COMPETENZA 20010 -ST-ACC-RISC.xls!ENTR-COMP-RES![ENTRATE - COMPETENZA 20010 -ST-ACC-RISC.xls]ENTR-COMP-RES Chart 3" "" \a \p \* MERGEFORMAT </w:instrText>
      </w:r>
      <w:r>
        <w:rPr>
          <w:noProof/>
          <w:sz w:val="24"/>
          <w:szCs w:val="24"/>
          <w:lang w:eastAsia="it-IT"/>
        </w:rPr>
        <w:fldChar w:fldCharType="separate"/>
      </w:r>
      <w:r w:rsidR="006D5FA4" w:rsidRPr="00A50F2E">
        <w:rPr>
          <w:noProof/>
          <w:sz w:val="24"/>
          <w:szCs w:val="24"/>
          <w:lang w:eastAsia="it-IT"/>
        </w:rPr>
        <w:object w:dxaOrig="13733" w:dyaOrig="10713">
          <v:shape id="_x0000_i1029" type="#_x0000_t75" style="width:466.2pt;height:322.2pt">
            <v:imagedata r:id="rId12" o:title=""/>
          </v:shape>
        </w:object>
      </w:r>
      <w:r>
        <w:rPr>
          <w:noProof/>
          <w:sz w:val="24"/>
          <w:szCs w:val="24"/>
          <w:lang w:eastAsia="it-IT"/>
        </w:rPr>
        <w:fldChar w:fldCharType="end"/>
      </w:r>
    </w:p>
    <w:p w:rsidR="00C94484" w:rsidRDefault="00C94484" w:rsidP="00C94484">
      <w:pPr>
        <w:spacing w:line="360" w:lineRule="auto"/>
        <w:jc w:val="both"/>
        <w:rPr>
          <w:sz w:val="24"/>
          <w:szCs w:val="24"/>
        </w:rPr>
      </w:pPr>
    </w:p>
    <w:p w:rsidR="00C94484" w:rsidRDefault="00A50F2E" w:rsidP="00C94484">
      <w:pPr>
        <w:tabs>
          <w:tab w:val="left" w:pos="4180"/>
        </w:tabs>
        <w:spacing w:line="360" w:lineRule="auto"/>
        <w:jc w:val="center"/>
        <w:rPr>
          <w:sz w:val="24"/>
          <w:szCs w:val="24"/>
        </w:rPr>
      </w:pPr>
      <w:r>
        <w:rPr>
          <w:noProof/>
          <w:sz w:val="24"/>
          <w:szCs w:val="24"/>
          <w:lang w:eastAsia="it-IT"/>
        </w:rPr>
        <w:fldChar w:fldCharType="begin"/>
      </w:r>
      <w:r w:rsidR="002654F0">
        <w:rPr>
          <w:noProof/>
          <w:sz w:val="24"/>
          <w:szCs w:val="24"/>
          <w:lang w:eastAsia="it-IT"/>
        </w:rPr>
        <w:instrText xml:space="preserve"> LINK Excel.Sheet.8 "\\\\srvfs01\\Programmazione_Finanziaria_Bilancio\\AREA COMUNE RAGIONERIA\\ENTRATE RENDICONTO 2011\\ENTRATE - COMPETENZA 20010 -ST-ACC-RISC.xls!ENTR-COMP-RES![ENTRATE - COMPETENZA 20010 -ST-ACC-RISC.xls]ENTR-COMP-RES Chart 4" "" \a \p \* MERGEFORMAT </w:instrText>
      </w:r>
      <w:r>
        <w:rPr>
          <w:noProof/>
          <w:sz w:val="24"/>
          <w:szCs w:val="24"/>
          <w:lang w:eastAsia="it-IT"/>
        </w:rPr>
        <w:fldChar w:fldCharType="separate"/>
      </w:r>
      <w:r w:rsidR="006D5FA4" w:rsidRPr="00A50F2E">
        <w:rPr>
          <w:noProof/>
          <w:sz w:val="24"/>
          <w:szCs w:val="24"/>
          <w:lang w:eastAsia="it-IT"/>
        </w:rPr>
        <w:object w:dxaOrig="13593" w:dyaOrig="8175">
          <v:shape id="_x0000_i1030" type="#_x0000_t75" style="width:453.6pt;height:265.8pt">
            <v:imagedata r:id="rId13" o:title=""/>
          </v:shape>
        </w:object>
      </w:r>
      <w:r>
        <w:rPr>
          <w:noProof/>
          <w:sz w:val="24"/>
          <w:szCs w:val="24"/>
          <w:lang w:eastAsia="it-IT"/>
        </w:rPr>
        <w:fldChar w:fldCharType="end"/>
      </w:r>
    </w:p>
    <w:p w:rsidR="00C94484" w:rsidRDefault="00C94484" w:rsidP="00C94484">
      <w:pPr>
        <w:spacing w:line="360" w:lineRule="auto"/>
        <w:jc w:val="both"/>
        <w:rPr>
          <w:sz w:val="24"/>
          <w:szCs w:val="24"/>
        </w:rPr>
      </w:pPr>
    </w:p>
    <w:p w:rsidR="00C94484" w:rsidRDefault="00C94484" w:rsidP="00C94484">
      <w:pPr>
        <w:spacing w:line="360" w:lineRule="auto"/>
        <w:jc w:val="both"/>
        <w:rPr>
          <w:sz w:val="24"/>
          <w:szCs w:val="24"/>
        </w:rPr>
      </w:pPr>
    </w:p>
    <w:p w:rsidR="00C94484" w:rsidRDefault="00C94484" w:rsidP="00C94484">
      <w:pPr>
        <w:spacing w:line="360" w:lineRule="auto"/>
        <w:jc w:val="both"/>
        <w:rPr>
          <w:sz w:val="24"/>
          <w:szCs w:val="24"/>
        </w:rPr>
      </w:pPr>
    </w:p>
    <w:p w:rsidR="00C94484" w:rsidRPr="00DF5C5E" w:rsidRDefault="00C94484" w:rsidP="002F032A">
      <w:pPr>
        <w:spacing w:line="360" w:lineRule="auto"/>
        <w:jc w:val="center"/>
        <w:rPr>
          <w:rFonts w:ascii="Andalus" w:hAnsi="Andalus" w:cs="Andalus"/>
          <w:sz w:val="20"/>
          <w:szCs w:val="20"/>
          <w:lang w:eastAsia="it-IT"/>
        </w:rPr>
      </w:pPr>
      <w:r w:rsidRPr="00DF5C5E">
        <w:rPr>
          <w:rFonts w:ascii="Andalus" w:hAnsi="Andalus" w:cs="Andalus"/>
          <w:sz w:val="20"/>
          <w:szCs w:val="20"/>
          <w:lang w:eastAsia="it-IT"/>
        </w:rPr>
        <w:lastRenderedPageBreak/>
        <w:t xml:space="preserve">GRADO </w:t>
      </w:r>
      <w:proofErr w:type="spellStart"/>
      <w:r w:rsidRPr="00DF5C5E">
        <w:rPr>
          <w:rFonts w:ascii="Andalus" w:hAnsi="Andalus" w:cs="Andalus"/>
          <w:sz w:val="20"/>
          <w:szCs w:val="20"/>
          <w:lang w:eastAsia="it-IT"/>
        </w:rPr>
        <w:t>DI</w:t>
      </w:r>
      <w:proofErr w:type="spellEnd"/>
      <w:r w:rsidRPr="00DF5C5E">
        <w:rPr>
          <w:rFonts w:ascii="Andalus" w:hAnsi="Andalus" w:cs="Andalus"/>
          <w:sz w:val="20"/>
          <w:szCs w:val="20"/>
          <w:lang w:eastAsia="it-IT"/>
        </w:rPr>
        <w:t xml:space="preserve"> REALIZZAZIONE DELLE ENTRATE </w:t>
      </w:r>
      <w:proofErr w:type="spellStart"/>
      <w:r w:rsidRPr="00DF5C5E">
        <w:rPr>
          <w:rFonts w:ascii="Andalus" w:hAnsi="Andalus" w:cs="Andalus"/>
          <w:sz w:val="20"/>
          <w:szCs w:val="20"/>
          <w:lang w:eastAsia="it-IT"/>
        </w:rPr>
        <w:t>DI</w:t>
      </w:r>
      <w:proofErr w:type="spellEnd"/>
      <w:r w:rsidRPr="00DF5C5E">
        <w:rPr>
          <w:rFonts w:ascii="Andalus" w:hAnsi="Andalus" w:cs="Andalus"/>
          <w:sz w:val="20"/>
          <w:szCs w:val="20"/>
          <w:lang w:eastAsia="it-IT"/>
        </w:rPr>
        <w:t xml:space="preserve"> COMPETENZA</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Le entrate previste negli stanziamenti definitivi del Bilancio 2011 sono state accertate nella misura del 85,05%.</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Le entrate accertate sono state riscosse complessivamente per il 66,80%.</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 Fondamentale è   la distinzione secondo l'utilizzazione e finalità delle stesse tra risorse correnti, (costituite dai primi 3 titoli di entrata) e risorse in conto capitale (di cui ai Titoli IV e V). Le prime finanziano, appunto, la così detta gestione corrente dell’ente (le spese ordinarie di funzionamento), le seconde, di natura straordinaria, attengono al finanziamento degli investimenti. </w:t>
      </w:r>
    </w:p>
    <w:p w:rsidR="00C94484" w:rsidRDefault="00C94484" w:rsidP="00C94484">
      <w:pPr>
        <w:spacing w:line="360" w:lineRule="auto"/>
        <w:jc w:val="both"/>
        <w:rPr>
          <w:rFonts w:cs="Arial"/>
          <w:sz w:val="24"/>
          <w:szCs w:val="24"/>
        </w:rPr>
      </w:pPr>
    </w:p>
    <w:p w:rsidR="00C94484" w:rsidRDefault="00A50F2E" w:rsidP="00803EA5">
      <w:pPr>
        <w:spacing w:line="360" w:lineRule="auto"/>
        <w:jc w:val="center"/>
        <w:rPr>
          <w:rFonts w:cs="Arial"/>
          <w:sz w:val="24"/>
          <w:szCs w:val="24"/>
        </w:rPr>
      </w:pPr>
      <w:r>
        <w:rPr>
          <w:rFonts w:cs="Arial"/>
          <w:sz w:val="24"/>
          <w:szCs w:val="24"/>
        </w:rPr>
        <w:fldChar w:fldCharType="begin"/>
      </w:r>
      <w:r w:rsidR="002654F0">
        <w:rPr>
          <w:rFonts w:cs="Arial"/>
          <w:sz w:val="24"/>
          <w:szCs w:val="24"/>
        </w:rPr>
        <w:instrText xml:space="preserve"> LINK Excel.Sheet.8 "\\\\srvfs01\\Programmazione_Finanziaria_Bilancio\\AREA COMUNE RAGIONERIA\\ENTRATE RENDICONTO 2011\\ENTRATE - COMPETENZA 20010 -ST-ACC-RISC.xls!ENTR-COMP-RES!R3C2:R15C9" "" \a \p \* MERGEFORMAT </w:instrText>
      </w:r>
      <w:r>
        <w:rPr>
          <w:rFonts w:cs="Arial"/>
          <w:sz w:val="24"/>
          <w:szCs w:val="24"/>
        </w:rPr>
        <w:fldChar w:fldCharType="separate"/>
      </w:r>
      <w:r w:rsidR="006D5FA4" w:rsidRPr="00A50F2E">
        <w:rPr>
          <w:rFonts w:cs="Arial"/>
          <w:sz w:val="24"/>
          <w:szCs w:val="24"/>
        </w:rPr>
        <w:object w:dxaOrig="14614" w:dyaOrig="15030">
          <v:shape id="_x0000_i1031" type="#_x0000_t75" style="width:482.4pt;height:428.4pt">
            <v:imagedata r:id="rId14" o:title=""/>
          </v:shape>
        </w:object>
      </w:r>
      <w:r>
        <w:rPr>
          <w:rFonts w:cs="Arial"/>
          <w:sz w:val="24"/>
          <w:szCs w:val="24"/>
        </w:rPr>
        <w:fldChar w:fldCharType="end"/>
      </w:r>
    </w:p>
    <w:p w:rsidR="00C94484" w:rsidRDefault="00C94484" w:rsidP="00C94484">
      <w:pPr>
        <w:spacing w:line="360" w:lineRule="auto"/>
        <w:jc w:val="both"/>
        <w:rPr>
          <w:rFonts w:cs="Arial"/>
          <w:sz w:val="24"/>
          <w:szCs w:val="24"/>
        </w:rPr>
      </w:pPr>
    </w:p>
    <w:p w:rsidR="00C94484" w:rsidRDefault="00C94484" w:rsidP="00C94484">
      <w:pPr>
        <w:spacing w:line="360" w:lineRule="auto"/>
        <w:jc w:val="both"/>
      </w:pPr>
    </w:p>
    <w:p w:rsidR="002F032A" w:rsidRDefault="002F032A" w:rsidP="00DF5C5E">
      <w:pPr>
        <w:spacing w:line="360" w:lineRule="auto"/>
        <w:jc w:val="both"/>
        <w:rPr>
          <w:rFonts w:ascii="Andalus" w:hAnsi="Andalus" w:cs="Andalus"/>
          <w:sz w:val="20"/>
          <w:szCs w:val="20"/>
          <w:lang w:eastAsia="it-IT"/>
        </w:rPr>
      </w:pPr>
    </w:p>
    <w:p w:rsidR="002F032A" w:rsidRDefault="002F032A" w:rsidP="00DF5C5E">
      <w:pPr>
        <w:spacing w:line="360" w:lineRule="auto"/>
        <w:jc w:val="both"/>
        <w:rPr>
          <w:rFonts w:ascii="Andalus" w:hAnsi="Andalus" w:cs="Andalus"/>
          <w:sz w:val="20"/>
          <w:szCs w:val="20"/>
          <w:lang w:eastAsia="it-IT"/>
        </w:rPr>
      </w:pPr>
    </w:p>
    <w:p w:rsidR="00C94484" w:rsidRPr="00DF5C5E" w:rsidRDefault="00C94484" w:rsidP="00DF5C5E">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L’analisi degli accertamenti evidenzia che le entrate correnti sono state complessivamente accertate rispetto alle previsioni definitive per il 98,39%, con un grado di realizzazione molto elevato a dimostrazione della veridicità ed attendibilità delle previsioni di bilancio, quelle da destinare a spese di investimento per il 58,66% .</w:t>
      </w:r>
    </w:p>
    <w:p w:rsidR="00C94484" w:rsidRPr="00DF5C5E" w:rsidRDefault="00C94484" w:rsidP="00DF5C5E">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In particolare emerge in positivo al Titolo I (Entrate Tributarie) un accertamento pari al 105,16% delle previsioni definitive, mentre il valore minimo si è avuto al Titolo IV (trasferimenti di capitale) con il 58,66 %.</w:t>
      </w:r>
    </w:p>
    <w:p w:rsidR="00C94484" w:rsidRPr="00DF5C5E" w:rsidRDefault="00C94484" w:rsidP="00DF5C5E">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Passando poi al dato maggiormente significativo del  rapporto esistente tra riscossioni e accertamenti, si può mettere in evidenza che le entrate correnti sono state riscosse per il 79,66 % mentre quella in conto capitale solo per 11,06 %. </w:t>
      </w:r>
    </w:p>
    <w:p w:rsidR="00C94484" w:rsidRDefault="00C94484" w:rsidP="00C94484">
      <w:pPr>
        <w:spacing w:line="360" w:lineRule="auto"/>
        <w:jc w:val="both"/>
        <w:rPr>
          <w:rFonts w:cs="Arial"/>
          <w:sz w:val="24"/>
          <w:szCs w:val="24"/>
        </w:rPr>
      </w:pPr>
    </w:p>
    <w:p w:rsidR="00C94484" w:rsidRDefault="00A50F2E" w:rsidP="00C94484">
      <w:pPr>
        <w:spacing w:line="360" w:lineRule="auto"/>
        <w:jc w:val="center"/>
        <w:rPr>
          <w:sz w:val="24"/>
          <w:szCs w:val="24"/>
        </w:rPr>
      </w:pPr>
      <w:r>
        <w:rPr>
          <w:noProof/>
          <w:sz w:val="24"/>
          <w:szCs w:val="24"/>
          <w:lang w:eastAsia="it-IT"/>
        </w:rPr>
        <w:fldChar w:fldCharType="begin"/>
      </w:r>
      <w:r w:rsidR="002654F0">
        <w:rPr>
          <w:noProof/>
          <w:sz w:val="24"/>
          <w:szCs w:val="24"/>
          <w:lang w:eastAsia="it-IT"/>
        </w:rPr>
        <w:instrText xml:space="preserve"> LINK Excel.Sheet.8 "\\\\srvfs01\\Programmazione_Finanziaria_Bilancio\\AREA COMUNE RAGIONERIA\\ENTRATE RENDICONTO 2011\\ENTRATE - COMPETENZA 20010 -ST-ACC-RISC.xls!ENTR-COMP-RES (2)![ENTRATE - COMPETENZA 20010 -ST-ACC-RISC.xls]ENTR-COMP-RES (2) Chart 7" "" \a \p \* MERGEFORMAT </w:instrText>
      </w:r>
      <w:r>
        <w:rPr>
          <w:noProof/>
          <w:sz w:val="24"/>
          <w:szCs w:val="24"/>
          <w:lang w:eastAsia="it-IT"/>
        </w:rPr>
        <w:fldChar w:fldCharType="separate"/>
      </w:r>
      <w:r w:rsidR="006D5FA4" w:rsidRPr="00A50F2E">
        <w:rPr>
          <w:noProof/>
          <w:sz w:val="24"/>
          <w:szCs w:val="24"/>
          <w:lang w:eastAsia="it-IT"/>
        </w:rPr>
        <w:object w:dxaOrig="17297" w:dyaOrig="6715">
          <v:shape id="_x0000_i1032" type="#_x0000_t75" style="width:517.8pt;height:201.6pt">
            <v:imagedata r:id="rId15" o:title=""/>
          </v:shape>
        </w:object>
      </w:r>
      <w:r>
        <w:rPr>
          <w:noProof/>
          <w:sz w:val="24"/>
          <w:szCs w:val="24"/>
          <w:lang w:eastAsia="it-IT"/>
        </w:rPr>
        <w:fldChar w:fldCharType="end"/>
      </w:r>
    </w:p>
    <w:p w:rsidR="00C94484" w:rsidRDefault="00C94484" w:rsidP="00C94484">
      <w:pPr>
        <w:spacing w:line="360" w:lineRule="auto"/>
        <w:jc w:val="both"/>
        <w:rPr>
          <w:sz w:val="24"/>
          <w:szCs w:val="24"/>
        </w:rPr>
      </w:pPr>
    </w:p>
    <w:p w:rsidR="00C94484" w:rsidRDefault="00C94484" w:rsidP="00C94484">
      <w:pPr>
        <w:spacing w:line="360" w:lineRule="auto"/>
        <w:jc w:val="both"/>
        <w:rPr>
          <w:rFonts w:cs="Arial"/>
          <w:sz w:val="24"/>
          <w:szCs w:val="24"/>
        </w:rPr>
      </w:pPr>
    </w:p>
    <w:p w:rsidR="00C94484" w:rsidRDefault="00C94484" w:rsidP="00C94484">
      <w:pPr>
        <w:spacing w:line="360" w:lineRule="auto"/>
        <w:jc w:val="both"/>
        <w:rPr>
          <w:sz w:val="24"/>
          <w:szCs w:val="24"/>
        </w:rPr>
      </w:pPr>
    </w:p>
    <w:p w:rsidR="00C94484" w:rsidRDefault="00A50F2E" w:rsidP="00C94484">
      <w:pPr>
        <w:spacing w:line="360" w:lineRule="auto"/>
        <w:jc w:val="center"/>
        <w:rPr>
          <w:rFonts w:cs="Arial"/>
          <w:sz w:val="24"/>
          <w:szCs w:val="24"/>
        </w:rPr>
      </w:pPr>
      <w:r>
        <w:rPr>
          <w:rFonts w:cs="Arial"/>
          <w:sz w:val="24"/>
          <w:szCs w:val="24"/>
        </w:rPr>
        <w:lastRenderedPageBreak/>
        <w:fldChar w:fldCharType="begin"/>
      </w:r>
      <w:r w:rsidR="002654F0">
        <w:rPr>
          <w:rFonts w:cs="Arial"/>
          <w:sz w:val="24"/>
          <w:szCs w:val="24"/>
        </w:rPr>
        <w:instrText xml:space="preserve"> LINK Excel.Sheet.8 "\\\\srvfs01\\Programmazione_Finanziaria_Bilancio\\AREA COMUNE RAGIONERIA\\ENTRATE RENDICONTO 2011\\ENTRATE - COMPETENZA 20010 -ST-ACC-RISC.xls!ENTR-COMP-RES (2)![ENTRATE - COMPETENZA 20010 -ST-ACC-RISC.xls]ENTR-COMP-RES (2) Chart 8" "" \a \p \* MERGEFORMAT </w:instrText>
      </w:r>
      <w:r>
        <w:rPr>
          <w:rFonts w:cs="Arial"/>
          <w:sz w:val="24"/>
          <w:szCs w:val="24"/>
        </w:rPr>
        <w:fldChar w:fldCharType="separate"/>
      </w:r>
      <w:r w:rsidR="006D5FA4" w:rsidRPr="00A50F2E">
        <w:rPr>
          <w:rFonts w:cs="Arial"/>
          <w:sz w:val="24"/>
          <w:szCs w:val="24"/>
        </w:rPr>
        <w:object w:dxaOrig="14294" w:dyaOrig="6855">
          <v:shape id="_x0000_i1033" type="#_x0000_t75" style="width:7in;height:205.8pt">
            <v:imagedata r:id="rId16" o:title=""/>
          </v:shape>
        </w:object>
      </w:r>
      <w:r>
        <w:rPr>
          <w:rFonts w:cs="Arial"/>
          <w:sz w:val="24"/>
          <w:szCs w:val="24"/>
        </w:rPr>
        <w:fldChar w:fldCharType="end"/>
      </w:r>
    </w:p>
    <w:p w:rsidR="00C94484" w:rsidRPr="00DF5C5E" w:rsidRDefault="00C94484" w:rsidP="00C94484">
      <w:pPr>
        <w:spacing w:line="360" w:lineRule="auto"/>
        <w:jc w:val="both"/>
        <w:rPr>
          <w:rFonts w:ascii="Andalus" w:hAnsi="Andalus" w:cs="Andalus"/>
          <w:sz w:val="20"/>
          <w:szCs w:val="20"/>
          <w:lang w:eastAsia="it-IT"/>
        </w:rPr>
      </w:pP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 L’incidenza delle previsioni definitive e degli accertamenti di parte corrente risulta essere sui rispettivi  totali  </w:t>
      </w:r>
      <w:r w:rsidR="0068618F" w:rsidRPr="00DF5C5E">
        <w:rPr>
          <w:rFonts w:ascii="Andalus" w:hAnsi="Andalus" w:cs="Andalus"/>
          <w:sz w:val="20"/>
          <w:szCs w:val="20"/>
          <w:lang w:eastAsia="it-IT"/>
        </w:rPr>
        <w:t xml:space="preserve">generali </w:t>
      </w:r>
      <w:r w:rsidRPr="00DF5C5E">
        <w:rPr>
          <w:rFonts w:ascii="Andalus" w:hAnsi="Andalus" w:cs="Andalus"/>
          <w:sz w:val="20"/>
          <w:szCs w:val="20"/>
          <w:lang w:eastAsia="it-IT"/>
        </w:rPr>
        <w:t>del 62,14</w:t>
      </w:r>
      <w:r w:rsidR="0068618F" w:rsidRPr="00DF5C5E">
        <w:rPr>
          <w:rFonts w:ascii="Andalus" w:hAnsi="Andalus" w:cs="Andalus"/>
          <w:sz w:val="20"/>
          <w:szCs w:val="20"/>
          <w:lang w:eastAsia="it-IT"/>
        </w:rPr>
        <w:t xml:space="preserve"> </w:t>
      </w:r>
      <w:r w:rsidRPr="00DF5C5E">
        <w:rPr>
          <w:rFonts w:ascii="Andalus" w:hAnsi="Andalus" w:cs="Andalus"/>
          <w:sz w:val="20"/>
          <w:szCs w:val="20"/>
          <w:lang w:eastAsia="it-IT"/>
        </w:rPr>
        <w:t>% e del 71,90</w:t>
      </w:r>
      <w:r w:rsidR="0068618F" w:rsidRPr="00DF5C5E">
        <w:rPr>
          <w:rFonts w:ascii="Andalus" w:hAnsi="Andalus" w:cs="Andalus"/>
          <w:sz w:val="20"/>
          <w:szCs w:val="20"/>
          <w:lang w:eastAsia="it-IT"/>
        </w:rPr>
        <w:t xml:space="preserve"> </w:t>
      </w:r>
      <w:r w:rsidRPr="00DF5C5E">
        <w:rPr>
          <w:rFonts w:ascii="Andalus" w:hAnsi="Andalus" w:cs="Andalus"/>
          <w:sz w:val="20"/>
          <w:szCs w:val="20"/>
          <w:lang w:eastAsia="it-IT"/>
        </w:rPr>
        <w:t>% mentre in conto capitale lo stesso dato è 30,29</w:t>
      </w:r>
      <w:r w:rsidR="0068618F" w:rsidRPr="00DF5C5E">
        <w:rPr>
          <w:rFonts w:ascii="Andalus" w:hAnsi="Andalus" w:cs="Andalus"/>
          <w:sz w:val="20"/>
          <w:szCs w:val="20"/>
          <w:lang w:eastAsia="it-IT"/>
        </w:rPr>
        <w:t xml:space="preserve"> </w:t>
      </w:r>
      <w:r w:rsidRPr="00DF5C5E">
        <w:rPr>
          <w:rFonts w:ascii="Andalus" w:hAnsi="Andalus" w:cs="Andalus"/>
          <w:sz w:val="20"/>
          <w:szCs w:val="20"/>
          <w:lang w:eastAsia="it-IT"/>
        </w:rPr>
        <w:t>% e 20,89</w:t>
      </w:r>
      <w:r w:rsidR="0068618F" w:rsidRPr="00DF5C5E">
        <w:rPr>
          <w:rFonts w:ascii="Andalus" w:hAnsi="Andalus" w:cs="Andalus"/>
          <w:sz w:val="20"/>
          <w:szCs w:val="20"/>
          <w:lang w:eastAsia="it-IT"/>
        </w:rPr>
        <w:t xml:space="preserve"> </w:t>
      </w:r>
      <w:r w:rsidRPr="00DF5C5E">
        <w:rPr>
          <w:rFonts w:ascii="Andalus" w:hAnsi="Andalus" w:cs="Andalus"/>
          <w:sz w:val="20"/>
          <w:szCs w:val="20"/>
          <w:lang w:eastAsia="it-IT"/>
        </w:rPr>
        <w:t>%.</w:t>
      </w:r>
    </w:p>
    <w:p w:rsidR="00C94484" w:rsidRPr="00DF5C5E" w:rsidRDefault="00C94484" w:rsidP="00C94484">
      <w:pPr>
        <w:spacing w:line="360" w:lineRule="auto"/>
        <w:jc w:val="both"/>
        <w:rPr>
          <w:rFonts w:ascii="Andalus" w:hAnsi="Andalus" w:cs="Andalus"/>
          <w:sz w:val="20"/>
          <w:szCs w:val="20"/>
          <w:lang w:eastAsia="it-IT"/>
        </w:rPr>
      </w:pPr>
    </w:p>
    <w:p w:rsidR="00C94484" w:rsidRPr="00DF5C5E" w:rsidRDefault="00C94484" w:rsidP="002F032A">
      <w:pPr>
        <w:spacing w:line="360" w:lineRule="auto"/>
        <w:jc w:val="center"/>
        <w:rPr>
          <w:rFonts w:ascii="Andalus" w:hAnsi="Andalus" w:cs="Andalus"/>
          <w:sz w:val="20"/>
          <w:szCs w:val="20"/>
          <w:lang w:eastAsia="it-IT"/>
        </w:rPr>
      </w:pPr>
      <w:r>
        <w:rPr>
          <w:rFonts w:cs="Arial"/>
          <w:sz w:val="24"/>
          <w:szCs w:val="24"/>
        </w:rPr>
        <w:t xml:space="preserve"> RES</w:t>
      </w:r>
      <w:r w:rsidR="007F11DA">
        <w:rPr>
          <w:rFonts w:cs="Arial"/>
          <w:sz w:val="24"/>
          <w:szCs w:val="24"/>
        </w:rPr>
        <w:t xml:space="preserve">IDUI </w:t>
      </w:r>
      <w:proofErr w:type="spellStart"/>
      <w:r w:rsidR="007F11DA">
        <w:rPr>
          <w:rFonts w:cs="Arial"/>
          <w:sz w:val="24"/>
          <w:szCs w:val="24"/>
        </w:rPr>
        <w:t>DI</w:t>
      </w:r>
      <w:proofErr w:type="spellEnd"/>
      <w:r w:rsidR="007F11DA">
        <w:rPr>
          <w:rFonts w:cs="Arial"/>
          <w:sz w:val="24"/>
          <w:szCs w:val="24"/>
        </w:rPr>
        <w:t xml:space="preserve"> COMPETENZA </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Completiamo l'analisi della gestione con i  residui attivi di competenza (somme accertate nel 2011 e non riscosse al termine dell’esercizio) e le minori entrate (differenza tra le previsioni definitive e gli accertamenti).</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 Il totale dei residui attivi</w:t>
      </w:r>
      <w:r w:rsidR="0068618F" w:rsidRPr="00DF5C5E">
        <w:rPr>
          <w:rFonts w:ascii="Andalus" w:hAnsi="Andalus" w:cs="Andalus"/>
          <w:sz w:val="20"/>
          <w:szCs w:val="20"/>
          <w:lang w:eastAsia="it-IT"/>
        </w:rPr>
        <w:t xml:space="preserve"> di competenza</w:t>
      </w:r>
      <w:r w:rsidRPr="00DF5C5E">
        <w:rPr>
          <w:rFonts w:ascii="Andalus" w:hAnsi="Andalus" w:cs="Andalus"/>
          <w:sz w:val="20"/>
          <w:szCs w:val="20"/>
          <w:lang w:eastAsia="it-IT"/>
        </w:rPr>
        <w:t>, è pari a € 18.545.908,78. Elemento di riflessione è che la quasi totalità (95,97%) di questi è costituita da contributi e trasferimenti sia di parte corrente (</w:t>
      </w:r>
      <w:proofErr w:type="spellStart"/>
      <w:r w:rsidRPr="00DF5C5E">
        <w:rPr>
          <w:rFonts w:ascii="Andalus" w:hAnsi="Andalus" w:cs="Andalus"/>
          <w:sz w:val="20"/>
          <w:szCs w:val="20"/>
          <w:lang w:eastAsia="it-IT"/>
        </w:rPr>
        <w:t>TIT</w:t>
      </w:r>
      <w:proofErr w:type="spellEnd"/>
      <w:r w:rsidRPr="00DF5C5E">
        <w:rPr>
          <w:rFonts w:ascii="Andalus" w:hAnsi="Andalus" w:cs="Andalus"/>
          <w:sz w:val="20"/>
          <w:szCs w:val="20"/>
          <w:lang w:eastAsia="it-IT"/>
        </w:rPr>
        <w:t>. II – 40,01%) che in conto capitale (</w:t>
      </w:r>
      <w:proofErr w:type="spellStart"/>
      <w:r w:rsidRPr="00DF5C5E">
        <w:rPr>
          <w:rFonts w:ascii="Andalus" w:hAnsi="Andalus" w:cs="Andalus"/>
          <w:sz w:val="20"/>
          <w:szCs w:val="20"/>
          <w:lang w:eastAsia="it-IT"/>
        </w:rPr>
        <w:t>TIT</w:t>
      </w:r>
      <w:proofErr w:type="spellEnd"/>
      <w:r w:rsidRPr="00DF5C5E">
        <w:rPr>
          <w:rFonts w:ascii="Andalus" w:hAnsi="Andalus" w:cs="Andalus"/>
          <w:sz w:val="20"/>
          <w:szCs w:val="20"/>
          <w:lang w:eastAsia="it-IT"/>
        </w:rPr>
        <w:t xml:space="preserve">. IV – 55,96%). </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Si veda nello specifico il grafico sotto. </w:t>
      </w:r>
    </w:p>
    <w:p w:rsidR="00C94484" w:rsidRDefault="00C94484" w:rsidP="00C94484">
      <w:pPr>
        <w:spacing w:line="360" w:lineRule="auto"/>
        <w:jc w:val="both"/>
        <w:rPr>
          <w:rFonts w:cs="Arial"/>
          <w:sz w:val="24"/>
          <w:szCs w:val="24"/>
        </w:rPr>
      </w:pPr>
    </w:p>
    <w:p w:rsidR="00C94484" w:rsidRDefault="00A50F2E" w:rsidP="00C94484">
      <w:pPr>
        <w:spacing w:line="360" w:lineRule="auto"/>
        <w:jc w:val="center"/>
        <w:rPr>
          <w:rFonts w:cs="Arial"/>
          <w:sz w:val="24"/>
          <w:szCs w:val="24"/>
        </w:rPr>
      </w:pPr>
      <w:r>
        <w:rPr>
          <w:rFonts w:cs="Arial"/>
          <w:noProof/>
          <w:sz w:val="24"/>
          <w:szCs w:val="24"/>
          <w:lang w:eastAsia="it-IT"/>
        </w:rPr>
        <w:lastRenderedPageBreak/>
        <w:fldChar w:fldCharType="begin"/>
      </w:r>
      <w:r w:rsidR="002654F0">
        <w:rPr>
          <w:rFonts w:cs="Arial"/>
          <w:noProof/>
          <w:sz w:val="24"/>
          <w:szCs w:val="24"/>
          <w:lang w:eastAsia="it-IT"/>
        </w:rPr>
        <w:instrText xml:space="preserve"> LINK Excel.Sheet.8 "\\\\srvfs01\\Programmazione_Finanziaria_Bilancio\\AREA COMUNE RAGIONERIA\\ENTRATE RENDICONTO 2011\\ENTRATE - COMPETENZA 20010 -ST-ACC-RISC.xls!ENTR-COMP-RES (2)![ENTRATE - COMPETENZA 20010 -ST-ACC-RISC.xls]ENTR-COMP-RES (2) Chart 3" "" \a \p \* MERGEFORMAT </w:instrText>
      </w:r>
      <w:r>
        <w:rPr>
          <w:rFonts w:cs="Arial"/>
          <w:noProof/>
          <w:sz w:val="24"/>
          <w:szCs w:val="24"/>
          <w:lang w:eastAsia="it-IT"/>
        </w:rPr>
        <w:fldChar w:fldCharType="separate"/>
      </w:r>
      <w:r w:rsidR="006D5FA4" w:rsidRPr="00A50F2E">
        <w:rPr>
          <w:rFonts w:cs="Arial"/>
          <w:noProof/>
          <w:sz w:val="24"/>
          <w:szCs w:val="24"/>
          <w:lang w:eastAsia="it-IT"/>
        </w:rPr>
        <w:object w:dxaOrig="12593" w:dyaOrig="10173">
          <v:shape id="_x0000_i1034" type="#_x0000_t75" style="width:487.2pt;height:270.6pt">
            <v:imagedata r:id="rId17" o:title=""/>
          </v:shape>
        </w:object>
      </w:r>
      <w:r>
        <w:rPr>
          <w:rFonts w:cs="Arial"/>
          <w:noProof/>
          <w:sz w:val="24"/>
          <w:szCs w:val="24"/>
          <w:lang w:eastAsia="it-IT"/>
        </w:rPr>
        <w:fldChar w:fldCharType="end"/>
      </w:r>
    </w:p>
    <w:p w:rsidR="00C94484" w:rsidRPr="00DF5C5E" w:rsidRDefault="00C94484" w:rsidP="00D62A4C">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Le entrate non accertate rispetto alle previsioni di bilancio, anche in questo caso,in gran parte originate dai Titoli  II e IV ammontano a  €  9.819.900,79 e rappresentano il 14,95 % del totale delle previsioni definitive. </w:t>
      </w:r>
    </w:p>
    <w:p w:rsidR="00DF5C5E" w:rsidRDefault="00C94484" w:rsidP="00DF5C5E">
      <w:pPr>
        <w:spacing w:line="360" w:lineRule="auto"/>
        <w:jc w:val="center"/>
        <w:rPr>
          <w:rFonts w:cs="Arial"/>
          <w:sz w:val="24"/>
          <w:szCs w:val="24"/>
        </w:rPr>
      </w:pPr>
      <w:r>
        <w:rPr>
          <w:rFonts w:cs="Arial"/>
          <w:color w:val="000000"/>
          <w:sz w:val="24"/>
          <w:szCs w:val="24"/>
        </w:rPr>
        <w:t>ANALISI</w:t>
      </w:r>
      <w:r>
        <w:rPr>
          <w:rFonts w:cs="Arial"/>
          <w:color w:val="00FF00"/>
          <w:sz w:val="24"/>
          <w:szCs w:val="24"/>
        </w:rPr>
        <w:t xml:space="preserve"> </w:t>
      </w:r>
      <w:r>
        <w:rPr>
          <w:rFonts w:cs="Arial"/>
          <w:sz w:val="24"/>
          <w:szCs w:val="24"/>
        </w:rPr>
        <w:t>STORICA ACCERTAMENTI PER TITOLI</w:t>
      </w:r>
    </w:p>
    <w:p w:rsidR="0068618F"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Le tabelle sotto riportate riassumono l'andamento delle entrate nel quinquennio 2007 - 2011. </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Rispetto all'anno 2010 si evidenzia un incremento  delle risorse accertate di € 5.161.999,33, in particola</w:t>
      </w:r>
      <w:r w:rsidR="007F11DA" w:rsidRPr="00DF5C5E">
        <w:rPr>
          <w:rFonts w:ascii="Andalus" w:hAnsi="Andalus" w:cs="Andalus"/>
          <w:sz w:val="20"/>
          <w:szCs w:val="20"/>
          <w:lang w:eastAsia="it-IT"/>
        </w:rPr>
        <w:t xml:space="preserve">re al titolo 2° dove c'è stato </w:t>
      </w:r>
      <w:r w:rsidRPr="00DF5C5E">
        <w:rPr>
          <w:rFonts w:ascii="Andalus" w:hAnsi="Andalus" w:cs="Andalus"/>
          <w:sz w:val="20"/>
          <w:szCs w:val="20"/>
          <w:lang w:eastAsia="it-IT"/>
        </w:rPr>
        <w:t xml:space="preserve"> un considerevole aumento dei trasferimenti correnti.</w:t>
      </w:r>
    </w:p>
    <w:p w:rsidR="00C94484" w:rsidRPr="00DF5C5E" w:rsidRDefault="00C94484" w:rsidP="00DF5C5E">
      <w:pPr>
        <w:spacing w:line="360" w:lineRule="auto"/>
        <w:jc w:val="both"/>
        <w:rPr>
          <w:rFonts w:ascii="Andalus" w:hAnsi="Andalus" w:cs="Andalus"/>
          <w:sz w:val="20"/>
          <w:szCs w:val="20"/>
          <w:lang w:eastAsia="it-IT"/>
        </w:rPr>
      </w:pPr>
    </w:p>
    <w:p w:rsidR="00C94484" w:rsidRDefault="00A50F2E" w:rsidP="00C94484">
      <w:pPr>
        <w:spacing w:line="360" w:lineRule="auto"/>
        <w:jc w:val="center"/>
      </w:pPr>
      <w:r>
        <w:fldChar w:fldCharType="begin"/>
      </w:r>
      <w:r w:rsidR="002654F0">
        <w:instrText xml:space="preserve"> LINK Excel.Sheet.8 "\\\\srvfs01\\Programmazione_Finanziaria_Bilancio\\AREA COMUNE RAGIONERIA\\ENTRATE RENDICONTO 2011\\ANALISI STORICA ACCERTAMENTI PER TITOLI.xls!dati isto2005)!R4C1:R12C9" "" \a \p </w:instrText>
      </w:r>
      <w:r>
        <w:fldChar w:fldCharType="separate"/>
      </w:r>
      <w:r w:rsidR="006D5FA4">
        <w:object w:dxaOrig="16997" w:dyaOrig="6056">
          <v:shape id="_x0000_i1035" type="#_x0000_t75" style="width:522pt;height:170.4pt" o:borderrightcolor="this">
            <v:imagedata r:id="rId18" o:title=""/>
            <w10:borderright type="single" width="4"/>
          </v:shape>
        </w:object>
      </w:r>
      <w:r>
        <w:fldChar w:fldCharType="end"/>
      </w:r>
    </w:p>
    <w:p w:rsidR="00C94484" w:rsidRDefault="00C94484" w:rsidP="00C94484">
      <w:pPr>
        <w:spacing w:line="360" w:lineRule="auto"/>
        <w:jc w:val="center"/>
      </w:pPr>
    </w:p>
    <w:p w:rsidR="00C94484" w:rsidRDefault="00A50F2E" w:rsidP="0068618F">
      <w:pPr>
        <w:spacing w:line="360" w:lineRule="auto"/>
        <w:rPr>
          <w:sz w:val="24"/>
          <w:szCs w:val="24"/>
        </w:rPr>
      </w:pPr>
      <w:r>
        <w:rPr>
          <w:noProof/>
          <w:sz w:val="24"/>
          <w:szCs w:val="24"/>
          <w:lang w:eastAsia="it-IT"/>
        </w:rPr>
        <w:lastRenderedPageBreak/>
        <w:fldChar w:fldCharType="begin"/>
      </w:r>
      <w:r w:rsidR="002654F0">
        <w:rPr>
          <w:noProof/>
          <w:sz w:val="24"/>
          <w:szCs w:val="24"/>
          <w:lang w:eastAsia="it-IT"/>
        </w:rPr>
        <w:instrText xml:space="preserve"> LINK Excel.Sheet.8 "\\\\srvfs01\\Programmazione_Finanziaria_Bilancio\\AREA COMUNE RAGIONERIA\\ENTRATE RENDICONTO 2011\\ANALISI STORICA ACCERTAMENTI PER TITOLI.xls!dati isto2005)![ANALISI STORICA ACCERTAMENTI PER TITOLI.xls]dati isto2005) Chart 1" "" \a \p \* MERGEFORMAT </w:instrText>
      </w:r>
      <w:r>
        <w:rPr>
          <w:noProof/>
          <w:sz w:val="24"/>
          <w:szCs w:val="24"/>
          <w:lang w:eastAsia="it-IT"/>
        </w:rPr>
        <w:fldChar w:fldCharType="separate"/>
      </w:r>
      <w:r w:rsidR="006D5FA4" w:rsidRPr="00A50F2E">
        <w:rPr>
          <w:noProof/>
          <w:sz w:val="24"/>
          <w:szCs w:val="24"/>
          <w:lang w:eastAsia="it-IT"/>
        </w:rPr>
        <w:object w:dxaOrig="13894" w:dyaOrig="7015">
          <v:shape id="_x0000_i1036" type="#_x0000_t75" style="width:522pt;height:210.6pt">
            <v:imagedata r:id="rId19" o:title=""/>
          </v:shape>
        </w:object>
      </w:r>
      <w:r>
        <w:rPr>
          <w:noProof/>
          <w:sz w:val="24"/>
          <w:szCs w:val="24"/>
          <w:lang w:eastAsia="it-IT"/>
        </w:rPr>
        <w:fldChar w:fldCharType="end"/>
      </w:r>
    </w:p>
    <w:p w:rsidR="00C94484" w:rsidRDefault="00C94484" w:rsidP="00C94484">
      <w:pPr>
        <w:pStyle w:val="Titolo5"/>
        <w:keepNext/>
        <w:spacing w:before="0" w:after="0" w:line="360" w:lineRule="auto"/>
        <w:jc w:val="center"/>
        <w:rPr>
          <w:rFonts w:cs="Arial"/>
          <w:b w:val="0"/>
          <w:sz w:val="24"/>
          <w:szCs w:val="24"/>
        </w:rPr>
      </w:pPr>
    </w:p>
    <w:p w:rsidR="00C94484" w:rsidRDefault="00C94484" w:rsidP="00C94484">
      <w:pPr>
        <w:spacing w:line="360" w:lineRule="auto"/>
        <w:rPr>
          <w:rFonts w:cs="Arial"/>
          <w:sz w:val="24"/>
          <w:szCs w:val="24"/>
        </w:rPr>
      </w:pPr>
    </w:p>
    <w:p w:rsidR="004854F7" w:rsidRDefault="004854F7" w:rsidP="00C94484">
      <w:pPr>
        <w:spacing w:line="360" w:lineRule="auto"/>
        <w:rPr>
          <w:rFonts w:cs="Arial"/>
          <w:sz w:val="24"/>
          <w:szCs w:val="24"/>
        </w:rPr>
      </w:pPr>
    </w:p>
    <w:p w:rsidR="004854F7" w:rsidRDefault="004854F7" w:rsidP="00C94484">
      <w:pPr>
        <w:spacing w:line="360" w:lineRule="auto"/>
        <w:rPr>
          <w:rFonts w:cs="Arial"/>
          <w:sz w:val="24"/>
          <w:szCs w:val="24"/>
        </w:rPr>
      </w:pPr>
    </w:p>
    <w:p w:rsidR="00D63EAB" w:rsidRDefault="00D63EAB" w:rsidP="00C94484">
      <w:pPr>
        <w:pStyle w:val="Titolo5"/>
        <w:keepNext/>
        <w:spacing w:before="0" w:after="0" w:line="360" w:lineRule="auto"/>
        <w:jc w:val="center"/>
        <w:rPr>
          <w:rFonts w:cs="Arial"/>
          <w:b w:val="0"/>
          <w:sz w:val="24"/>
          <w:szCs w:val="24"/>
        </w:rPr>
      </w:pPr>
    </w:p>
    <w:p w:rsidR="00D63EAB" w:rsidRDefault="00D63EAB" w:rsidP="00C94484">
      <w:pPr>
        <w:pStyle w:val="Titolo5"/>
        <w:keepNext/>
        <w:spacing w:before="0" w:after="0" w:line="360" w:lineRule="auto"/>
        <w:jc w:val="center"/>
        <w:rPr>
          <w:rFonts w:cs="Arial"/>
          <w:b w:val="0"/>
          <w:sz w:val="24"/>
          <w:szCs w:val="24"/>
        </w:rPr>
      </w:pPr>
    </w:p>
    <w:p w:rsidR="00D63EAB" w:rsidRDefault="00D63EAB" w:rsidP="00C94484">
      <w:pPr>
        <w:pStyle w:val="Titolo5"/>
        <w:keepNext/>
        <w:spacing w:before="0" w:after="0" w:line="360" w:lineRule="auto"/>
        <w:jc w:val="center"/>
        <w:rPr>
          <w:rFonts w:cs="Arial"/>
          <w:b w:val="0"/>
          <w:sz w:val="24"/>
          <w:szCs w:val="24"/>
        </w:rPr>
      </w:pPr>
    </w:p>
    <w:p w:rsidR="00D63EAB" w:rsidRDefault="00D63EAB" w:rsidP="00C94484">
      <w:pPr>
        <w:pStyle w:val="Titolo5"/>
        <w:keepNext/>
        <w:spacing w:before="0" w:after="0" w:line="360" w:lineRule="auto"/>
        <w:jc w:val="center"/>
        <w:rPr>
          <w:rFonts w:cs="Arial"/>
          <w:b w:val="0"/>
          <w:sz w:val="24"/>
          <w:szCs w:val="24"/>
        </w:rPr>
      </w:pPr>
    </w:p>
    <w:p w:rsidR="00D63EAB" w:rsidRDefault="00D63EAB" w:rsidP="00D63EAB">
      <w:pPr>
        <w:pStyle w:val="Titolo5"/>
        <w:keepNext/>
        <w:spacing w:before="0" w:after="0" w:line="360" w:lineRule="auto"/>
        <w:jc w:val="center"/>
        <w:rPr>
          <w:rFonts w:cs="Arial"/>
          <w:b w:val="0"/>
          <w:sz w:val="24"/>
          <w:szCs w:val="24"/>
        </w:rPr>
      </w:pPr>
    </w:p>
    <w:p w:rsidR="002F032A" w:rsidRDefault="002F032A" w:rsidP="002F032A"/>
    <w:p w:rsidR="002F032A" w:rsidRDefault="002F032A" w:rsidP="002F032A"/>
    <w:p w:rsidR="002F032A" w:rsidRDefault="002F032A" w:rsidP="002F032A"/>
    <w:p w:rsidR="002F032A" w:rsidRDefault="002F032A" w:rsidP="002F032A"/>
    <w:p w:rsidR="002F032A" w:rsidRDefault="002F032A" w:rsidP="002F032A"/>
    <w:p w:rsidR="002F032A" w:rsidRDefault="002F032A" w:rsidP="002F032A"/>
    <w:p w:rsidR="002F032A" w:rsidRDefault="002F032A" w:rsidP="002F032A"/>
    <w:p w:rsidR="002F032A" w:rsidRDefault="002F032A" w:rsidP="002F032A"/>
    <w:p w:rsidR="002F032A" w:rsidRDefault="002F032A" w:rsidP="002F032A"/>
    <w:p w:rsidR="002F032A" w:rsidRDefault="002F032A" w:rsidP="002F032A"/>
    <w:p w:rsidR="002F032A" w:rsidRPr="002F032A" w:rsidRDefault="002F032A" w:rsidP="002F032A"/>
    <w:p w:rsidR="00C94484" w:rsidRPr="00D63EAB" w:rsidRDefault="00C94484" w:rsidP="00D63EAB">
      <w:pPr>
        <w:pStyle w:val="Titolo5"/>
        <w:keepNext/>
        <w:spacing w:before="0" w:after="0" w:line="360" w:lineRule="auto"/>
        <w:jc w:val="center"/>
        <w:rPr>
          <w:rFonts w:cs="Arial"/>
          <w:b w:val="0"/>
          <w:sz w:val="24"/>
          <w:szCs w:val="24"/>
        </w:rPr>
      </w:pPr>
      <w:r w:rsidRPr="00D63EAB">
        <w:rPr>
          <w:rFonts w:cs="Arial"/>
          <w:b w:val="0"/>
          <w:sz w:val="24"/>
          <w:szCs w:val="24"/>
        </w:rPr>
        <w:lastRenderedPageBreak/>
        <w:t>TITOLO 1°</w:t>
      </w:r>
    </w:p>
    <w:p w:rsidR="00C94484" w:rsidRPr="002F032A" w:rsidRDefault="00C94484" w:rsidP="00C94484">
      <w:pPr>
        <w:pStyle w:val="Titolo5"/>
        <w:keepNext/>
        <w:spacing w:before="0" w:after="0" w:line="360" w:lineRule="auto"/>
        <w:jc w:val="center"/>
        <w:rPr>
          <w:rFonts w:cs="Arial"/>
          <w:sz w:val="24"/>
          <w:szCs w:val="24"/>
        </w:rPr>
      </w:pPr>
      <w:r w:rsidRPr="002F032A">
        <w:rPr>
          <w:rFonts w:cs="Arial"/>
          <w:b w:val="0"/>
          <w:sz w:val="24"/>
          <w:szCs w:val="24"/>
        </w:rPr>
        <w:t>ENTRATE TRIBUTARIE</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Appartengono al Titolo 1° le entrate inerenti le Imposte (Categoria 01), le Tasse (Categoria 02), i Tributi Speciali ed altre entrate tributarie proprie (Categoria 03).</w:t>
      </w:r>
    </w:p>
    <w:p w:rsidR="00C94484" w:rsidRPr="00DF5C5E" w:rsidRDefault="00720D41"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Le risorse</w:t>
      </w:r>
      <w:r w:rsidR="00C94484" w:rsidRPr="00DF5C5E">
        <w:rPr>
          <w:rFonts w:ascii="Andalus" w:hAnsi="Andalus" w:cs="Andalus"/>
          <w:sz w:val="20"/>
          <w:szCs w:val="20"/>
          <w:lang w:eastAsia="it-IT"/>
        </w:rPr>
        <w:t xml:space="preserve"> previste al Titolo I presentano particolare importanza nell'analisi complessiva delle entrate in quanto evidenziano la capacità impositiva autonoma dell'Amministrazione provinciale.</w:t>
      </w:r>
    </w:p>
    <w:p w:rsidR="00720D41"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E' però necessario ricordare che non esiste una vera e propria autonomia tributaria delle Province tenuto conto che i maggiori tributi,  come l'addizionale sul consumo dell'energia elettrica e l'imposta RC auto, fino ad arrivare all'imposta sulle assicurazioni e sulla trascrizione degli autoveicoli (</w:t>
      </w:r>
      <w:proofErr w:type="spellStart"/>
      <w:r w:rsidRPr="00DF5C5E">
        <w:rPr>
          <w:rFonts w:ascii="Andalus" w:hAnsi="Andalus" w:cs="Andalus"/>
          <w:sz w:val="20"/>
          <w:szCs w:val="20"/>
          <w:lang w:eastAsia="it-IT"/>
        </w:rPr>
        <w:t>I.P.T.</w:t>
      </w:r>
      <w:proofErr w:type="spellEnd"/>
      <w:r w:rsidRPr="00DF5C5E">
        <w:rPr>
          <w:rFonts w:ascii="Andalus" w:hAnsi="Andalus" w:cs="Andalus"/>
          <w:sz w:val="20"/>
          <w:szCs w:val="20"/>
          <w:lang w:eastAsia="it-IT"/>
        </w:rPr>
        <w:t xml:space="preserve">), vengono riscossi come trasferimenti da altri Enti (ACI, Concessionari della riscossione, Enel e altri numerosi gestori dell'energia elettrica, Agenzia delle Entrate) e la Provincia si limita </w:t>
      </w:r>
      <w:r w:rsidR="00720D41" w:rsidRPr="00DF5C5E">
        <w:rPr>
          <w:rFonts w:ascii="Andalus" w:hAnsi="Andalus" w:cs="Andalus"/>
          <w:sz w:val="20"/>
          <w:szCs w:val="20"/>
          <w:lang w:eastAsia="it-IT"/>
        </w:rPr>
        <w:t xml:space="preserve">per alcuni di questi tributi </w:t>
      </w:r>
      <w:r w:rsidRPr="00DF5C5E">
        <w:rPr>
          <w:rFonts w:ascii="Andalus" w:hAnsi="Andalus" w:cs="Andalus"/>
          <w:sz w:val="20"/>
          <w:szCs w:val="20"/>
          <w:lang w:eastAsia="it-IT"/>
        </w:rPr>
        <w:t xml:space="preserve">al controllo dei versamenti e alla loro riscossione senza possibilità </w:t>
      </w:r>
      <w:r w:rsidR="00DA713D" w:rsidRPr="00DF5C5E">
        <w:rPr>
          <w:rFonts w:ascii="Andalus" w:hAnsi="Andalus" w:cs="Andalus"/>
          <w:sz w:val="20"/>
          <w:szCs w:val="20"/>
          <w:lang w:eastAsia="it-IT"/>
        </w:rPr>
        <w:t>di gestire e controllare direttamente</w:t>
      </w:r>
      <w:r w:rsidRPr="00DF5C5E">
        <w:rPr>
          <w:rFonts w:ascii="Andalus" w:hAnsi="Andalus" w:cs="Andalus"/>
          <w:sz w:val="20"/>
          <w:szCs w:val="20"/>
          <w:lang w:eastAsia="it-IT"/>
        </w:rPr>
        <w:t xml:space="preserve"> i tributi.</w:t>
      </w:r>
      <w:r w:rsidR="00720D41" w:rsidRPr="00DF5C5E">
        <w:rPr>
          <w:rFonts w:ascii="Andalus" w:hAnsi="Andalus" w:cs="Andalus"/>
          <w:sz w:val="20"/>
          <w:szCs w:val="20"/>
          <w:lang w:eastAsia="it-IT"/>
        </w:rPr>
        <w:t xml:space="preserve"> </w:t>
      </w:r>
      <w:r w:rsidR="004B5492" w:rsidRPr="00DF5C5E">
        <w:rPr>
          <w:rFonts w:ascii="Andalus" w:hAnsi="Andalus" w:cs="Andalus"/>
          <w:sz w:val="20"/>
          <w:szCs w:val="20"/>
          <w:lang w:eastAsia="it-IT"/>
        </w:rPr>
        <w:t>Pertanto i</w:t>
      </w:r>
      <w:r w:rsidR="00720D41" w:rsidRPr="00DF5C5E">
        <w:rPr>
          <w:rFonts w:ascii="Andalus" w:hAnsi="Andalus" w:cs="Andalus"/>
          <w:sz w:val="20"/>
          <w:szCs w:val="20"/>
          <w:lang w:eastAsia="it-IT"/>
        </w:rPr>
        <w:t xml:space="preserve">l </w:t>
      </w:r>
      <w:r w:rsidR="004B5492" w:rsidRPr="00DF5C5E">
        <w:rPr>
          <w:rFonts w:ascii="Andalus" w:hAnsi="Andalus" w:cs="Andalus"/>
          <w:sz w:val="20"/>
          <w:szCs w:val="20"/>
          <w:lang w:eastAsia="it-IT"/>
        </w:rPr>
        <w:t xml:space="preserve">loro gettito  è </w:t>
      </w:r>
      <w:r w:rsidR="00720D41" w:rsidRPr="00DF5C5E">
        <w:rPr>
          <w:rFonts w:ascii="Andalus" w:hAnsi="Andalus" w:cs="Andalus"/>
          <w:sz w:val="20"/>
          <w:szCs w:val="20"/>
          <w:lang w:eastAsia="it-IT"/>
        </w:rPr>
        <w:t xml:space="preserve"> difficile da prevedere con precisione, </w:t>
      </w:r>
      <w:r w:rsidR="004B5492" w:rsidRPr="00DF5C5E">
        <w:rPr>
          <w:rFonts w:ascii="Andalus" w:hAnsi="Andalus" w:cs="Andalus"/>
          <w:sz w:val="20"/>
          <w:szCs w:val="20"/>
          <w:lang w:eastAsia="it-IT"/>
        </w:rPr>
        <w:t>s</w:t>
      </w:r>
      <w:r w:rsidR="00720D41" w:rsidRPr="00DF5C5E">
        <w:rPr>
          <w:rFonts w:ascii="Andalus" w:hAnsi="Andalus" w:cs="Andalus"/>
          <w:sz w:val="20"/>
          <w:szCs w:val="20"/>
          <w:lang w:eastAsia="it-IT"/>
        </w:rPr>
        <w:t>i pos</w:t>
      </w:r>
      <w:r w:rsidR="00DA713D" w:rsidRPr="00DF5C5E">
        <w:rPr>
          <w:rFonts w:ascii="Andalus" w:hAnsi="Andalus" w:cs="Andalus"/>
          <w:sz w:val="20"/>
          <w:szCs w:val="20"/>
          <w:lang w:eastAsia="it-IT"/>
        </w:rPr>
        <w:t>sono solo fare stime e verifiche</w:t>
      </w:r>
      <w:r w:rsidR="00720D41" w:rsidRPr="00DF5C5E">
        <w:rPr>
          <w:rFonts w:ascii="Andalus" w:hAnsi="Andalus" w:cs="Andalus"/>
          <w:sz w:val="20"/>
          <w:szCs w:val="20"/>
          <w:lang w:eastAsia="it-IT"/>
        </w:rPr>
        <w:t xml:space="preserve"> sull'andamento nei mesi cercando di adeguare le previsioni che potrebbero anche dare origine a significativi  aumenti o a minori gettiti.</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Le entrate tributarie hanno rappresentato complessivamente il 18,02 % degli accertamenti di competenza. Un confronto in termini assoluti rispetto al 2010 vede uno scostamento in negativo   dello 0,43%. </w:t>
      </w:r>
    </w:p>
    <w:p w:rsidR="00C94484" w:rsidRDefault="00C94484" w:rsidP="002F032A">
      <w:pPr>
        <w:spacing w:line="360" w:lineRule="auto"/>
      </w:pPr>
      <w:r w:rsidRPr="00DF5C5E">
        <w:rPr>
          <w:rFonts w:ascii="Andalus" w:hAnsi="Andalus" w:cs="Andalus"/>
          <w:sz w:val="20"/>
          <w:szCs w:val="20"/>
          <w:lang w:eastAsia="it-IT"/>
        </w:rPr>
        <w:t>Entrando nello specifico, rispetto al totale degli accertamenti del Titolo I, le Imposte (</w:t>
      </w:r>
      <w:proofErr w:type="spellStart"/>
      <w:r w:rsidRPr="00DF5C5E">
        <w:rPr>
          <w:rFonts w:ascii="Andalus" w:hAnsi="Andalus" w:cs="Andalus"/>
          <w:sz w:val="20"/>
          <w:szCs w:val="20"/>
          <w:lang w:eastAsia="it-IT"/>
        </w:rPr>
        <w:t>CAT</w:t>
      </w:r>
      <w:proofErr w:type="spellEnd"/>
      <w:r w:rsidRPr="00DF5C5E">
        <w:rPr>
          <w:rFonts w:ascii="Andalus" w:hAnsi="Andalus" w:cs="Andalus"/>
          <w:sz w:val="20"/>
          <w:szCs w:val="20"/>
          <w:lang w:eastAsia="it-IT"/>
        </w:rPr>
        <w:t>. I) rappresentano il 99,34,</w:t>
      </w:r>
      <w:r w:rsidR="00F225CF" w:rsidRPr="00DF5C5E">
        <w:rPr>
          <w:rFonts w:ascii="Andalus" w:hAnsi="Andalus" w:cs="Andalus"/>
          <w:sz w:val="20"/>
          <w:szCs w:val="20"/>
          <w:lang w:eastAsia="it-IT"/>
        </w:rPr>
        <w:t xml:space="preserve"> %, le Tasse ( </w:t>
      </w:r>
      <w:proofErr w:type="spellStart"/>
      <w:r w:rsidR="00F225CF" w:rsidRPr="00DF5C5E">
        <w:rPr>
          <w:rFonts w:ascii="Andalus" w:hAnsi="Andalus" w:cs="Andalus"/>
          <w:sz w:val="20"/>
          <w:szCs w:val="20"/>
          <w:lang w:eastAsia="it-IT"/>
        </w:rPr>
        <w:t>CAT</w:t>
      </w:r>
      <w:proofErr w:type="spellEnd"/>
      <w:r w:rsidR="00F225CF" w:rsidRPr="00DF5C5E">
        <w:rPr>
          <w:rFonts w:ascii="Andalus" w:hAnsi="Andalus" w:cs="Andalus"/>
          <w:sz w:val="20"/>
          <w:szCs w:val="20"/>
          <w:lang w:eastAsia="it-IT"/>
        </w:rPr>
        <w:t>. II)  lo 0,5</w:t>
      </w:r>
      <w:r w:rsidRPr="00DF5C5E">
        <w:rPr>
          <w:rFonts w:ascii="Andalus" w:hAnsi="Andalus" w:cs="Andalus"/>
          <w:sz w:val="20"/>
          <w:szCs w:val="20"/>
          <w:lang w:eastAsia="it-IT"/>
        </w:rPr>
        <w:t xml:space="preserve">2 % , i Tributi speciali ed altre entrate tributarie proprie ( </w:t>
      </w:r>
      <w:proofErr w:type="spellStart"/>
      <w:r w:rsidRPr="00DF5C5E">
        <w:rPr>
          <w:rFonts w:ascii="Andalus" w:hAnsi="Andalus" w:cs="Andalus"/>
          <w:sz w:val="20"/>
          <w:szCs w:val="20"/>
          <w:lang w:eastAsia="it-IT"/>
        </w:rPr>
        <w:t>CAT</w:t>
      </w:r>
      <w:proofErr w:type="spellEnd"/>
      <w:r w:rsidRPr="00DF5C5E">
        <w:rPr>
          <w:rFonts w:ascii="Andalus" w:hAnsi="Andalus" w:cs="Andalus"/>
          <w:sz w:val="20"/>
          <w:szCs w:val="20"/>
          <w:lang w:eastAsia="it-IT"/>
        </w:rPr>
        <w:t>. III)  lo 0,14 %.</w:t>
      </w:r>
      <w:r w:rsidR="00A50F2E">
        <w:fldChar w:fldCharType="begin"/>
      </w:r>
      <w:r w:rsidR="002654F0">
        <w:instrText xml:space="preserve"> LINK Excel.Sheet.8 "\\\\srvfs01\\Programmazione_Finanziaria_Bilancio\\AREA COMUNE RAGIONERIA\\ENTRATE RENDICONTO 2011\\ENTRATE TITOLO I - CONSUNTIVO.xls!Foglio1!R9C2:R28C5" "" \a \p \* MERGEFORMAT </w:instrText>
      </w:r>
      <w:r w:rsidR="00A50F2E">
        <w:fldChar w:fldCharType="separate"/>
      </w:r>
      <w:r w:rsidR="006D5FA4">
        <w:object w:dxaOrig="14715" w:dyaOrig="10513">
          <v:shape id="_x0000_i1037" type="#_x0000_t75" style="width:482.4pt;height:297pt">
            <v:imagedata r:id="rId20" o:title=""/>
          </v:shape>
        </w:object>
      </w:r>
      <w:r w:rsidR="00A50F2E">
        <w:fldChar w:fldCharType="end"/>
      </w:r>
    </w:p>
    <w:p w:rsidR="00514EC8" w:rsidRDefault="00514EC8" w:rsidP="00BB7324">
      <w:pPr>
        <w:spacing w:line="360" w:lineRule="auto"/>
        <w:ind w:firstLine="708"/>
      </w:pPr>
    </w:p>
    <w:p w:rsidR="00514EC8" w:rsidRDefault="00514EC8" w:rsidP="00BB7324">
      <w:pPr>
        <w:spacing w:line="360" w:lineRule="auto"/>
        <w:ind w:firstLine="708"/>
      </w:pPr>
    </w:p>
    <w:p w:rsidR="00C94484" w:rsidRDefault="00C94484" w:rsidP="00C94484">
      <w:pPr>
        <w:spacing w:line="360" w:lineRule="auto"/>
        <w:jc w:val="center"/>
        <w:rPr>
          <w:rFonts w:cs="Arial"/>
          <w:sz w:val="24"/>
          <w:szCs w:val="24"/>
        </w:rPr>
      </w:pPr>
      <w:r>
        <w:rPr>
          <w:rFonts w:cs="Arial"/>
          <w:sz w:val="24"/>
          <w:szCs w:val="24"/>
        </w:rPr>
        <w:t xml:space="preserve">TITOLO 1° ENTRATE TRIBUTARIE - </w:t>
      </w:r>
      <w:r>
        <w:rPr>
          <w:rFonts w:cs="Arial"/>
          <w:color w:val="000000"/>
          <w:sz w:val="24"/>
          <w:szCs w:val="24"/>
        </w:rPr>
        <w:t>ANALISI</w:t>
      </w:r>
      <w:r>
        <w:rPr>
          <w:rFonts w:cs="Arial"/>
          <w:color w:val="00FF00"/>
          <w:sz w:val="24"/>
          <w:szCs w:val="24"/>
        </w:rPr>
        <w:t xml:space="preserve"> </w:t>
      </w:r>
      <w:r w:rsidR="00DA713D">
        <w:rPr>
          <w:rFonts w:cs="Arial"/>
          <w:sz w:val="24"/>
          <w:szCs w:val="24"/>
        </w:rPr>
        <w:t>STORICA 2007</w:t>
      </w:r>
      <w:r>
        <w:rPr>
          <w:rFonts w:cs="Arial"/>
          <w:sz w:val="24"/>
          <w:szCs w:val="24"/>
        </w:rPr>
        <w:t>-2011.</w:t>
      </w:r>
    </w:p>
    <w:p w:rsidR="00C94484" w:rsidRDefault="00A50F2E" w:rsidP="00BB7324">
      <w:pPr>
        <w:spacing w:line="360" w:lineRule="auto"/>
        <w:ind w:firstLine="708"/>
        <w:jc w:val="center"/>
        <w:rPr>
          <w:rFonts w:cs="Arial"/>
          <w:sz w:val="24"/>
          <w:szCs w:val="24"/>
        </w:rPr>
      </w:pPr>
      <w:r>
        <w:rPr>
          <w:rFonts w:cs="Arial"/>
          <w:sz w:val="24"/>
          <w:szCs w:val="24"/>
        </w:rPr>
        <w:fldChar w:fldCharType="begin"/>
      </w:r>
      <w:r w:rsidR="002654F0">
        <w:rPr>
          <w:rFonts w:cs="Arial"/>
          <w:sz w:val="24"/>
          <w:szCs w:val="24"/>
        </w:rPr>
        <w:instrText xml:space="preserve"> LINK Excel.Sheet.8 "\\\\srvfs01\\Programmazione_Finanziaria_Bilancio\\AREA COMUNE RAGIONERIA\\ENTRATE RENDICONTO 2011\\ENTRATE TRIBUTARIE ANALISI STORICA 2003_2009.xls!Foglio1!R3C1:R10C7" "" \a \p \* MERGEFORMAT </w:instrText>
      </w:r>
      <w:r>
        <w:rPr>
          <w:rFonts w:cs="Arial"/>
          <w:sz w:val="24"/>
          <w:szCs w:val="24"/>
        </w:rPr>
        <w:fldChar w:fldCharType="separate"/>
      </w:r>
      <w:r w:rsidR="006D5FA4" w:rsidRPr="00A50F2E">
        <w:rPr>
          <w:rFonts w:cs="Arial"/>
          <w:sz w:val="24"/>
          <w:szCs w:val="24"/>
        </w:rPr>
        <w:object w:dxaOrig="12533" w:dyaOrig="4357">
          <v:shape id="_x0000_i1038" type="#_x0000_t75" style="width:441.6pt;height:123pt">
            <v:imagedata r:id="rId21" o:title=""/>
          </v:shape>
        </w:object>
      </w:r>
      <w:r>
        <w:rPr>
          <w:rFonts w:cs="Arial"/>
          <w:sz w:val="24"/>
          <w:szCs w:val="24"/>
        </w:rPr>
        <w:fldChar w:fldCharType="end"/>
      </w:r>
    </w:p>
    <w:p w:rsidR="00F225CF" w:rsidRDefault="00F225CF" w:rsidP="00BB7324">
      <w:pPr>
        <w:spacing w:line="360" w:lineRule="auto"/>
        <w:ind w:firstLine="708"/>
        <w:jc w:val="center"/>
        <w:rPr>
          <w:rFonts w:cs="Arial"/>
          <w:sz w:val="24"/>
          <w:szCs w:val="24"/>
        </w:rPr>
      </w:pPr>
    </w:p>
    <w:p w:rsidR="00C94484" w:rsidRDefault="00A50F2E" w:rsidP="00D3485B">
      <w:pPr>
        <w:spacing w:line="360" w:lineRule="auto"/>
        <w:ind w:firstLine="708"/>
        <w:jc w:val="center"/>
        <w:rPr>
          <w:rFonts w:cs="Arial"/>
          <w:sz w:val="24"/>
          <w:szCs w:val="24"/>
        </w:rPr>
      </w:pPr>
      <w:r>
        <w:rPr>
          <w:rFonts w:cs="Arial"/>
          <w:noProof/>
          <w:sz w:val="24"/>
          <w:szCs w:val="24"/>
          <w:lang w:eastAsia="it-IT"/>
        </w:rPr>
        <w:fldChar w:fldCharType="begin"/>
      </w:r>
      <w:r w:rsidR="002654F0">
        <w:rPr>
          <w:rFonts w:cs="Arial"/>
          <w:noProof/>
          <w:sz w:val="24"/>
          <w:szCs w:val="24"/>
          <w:lang w:eastAsia="it-IT"/>
        </w:rPr>
        <w:instrText xml:space="preserve"> LINK Excel.Sheet.8 "\\\\srvfs01\\Programmazione_Finanziaria_Bilancio\\AREA COMUNE RAGIONERIA\\ENTRATE RENDICONTO 2011\\ENTRATE TRIBUTARIE ANALISI STORICA 2003_2009.xls!Foglio1![ENTRATE TRIBUTARIE ANALISI STORICA 2003_2009.xls]Foglio1 Chart 1" "" \a \p \* MERGEFORMAT </w:instrText>
      </w:r>
      <w:r>
        <w:rPr>
          <w:rFonts w:cs="Arial"/>
          <w:noProof/>
          <w:sz w:val="24"/>
          <w:szCs w:val="24"/>
          <w:lang w:eastAsia="it-IT"/>
        </w:rPr>
        <w:fldChar w:fldCharType="separate"/>
      </w:r>
      <w:r w:rsidR="006D5FA4" w:rsidRPr="00A50F2E">
        <w:rPr>
          <w:rFonts w:cs="Arial"/>
          <w:noProof/>
          <w:sz w:val="24"/>
          <w:szCs w:val="24"/>
          <w:lang w:eastAsia="it-IT"/>
        </w:rPr>
        <w:object w:dxaOrig="13573" w:dyaOrig="6676">
          <v:shape id="_x0000_i1039" type="#_x0000_t75" style="width:477pt;height:200.4pt">
            <v:imagedata r:id="rId22" o:title=""/>
          </v:shape>
        </w:object>
      </w:r>
      <w:r>
        <w:rPr>
          <w:rFonts w:cs="Arial"/>
          <w:noProof/>
          <w:sz w:val="24"/>
          <w:szCs w:val="24"/>
          <w:lang w:eastAsia="it-IT"/>
        </w:rPr>
        <w:fldChar w:fldCharType="end"/>
      </w:r>
    </w:p>
    <w:p w:rsidR="00C94484" w:rsidRDefault="00C94484" w:rsidP="00C94484">
      <w:pPr>
        <w:spacing w:line="360" w:lineRule="auto"/>
        <w:ind w:firstLine="708"/>
        <w:jc w:val="center"/>
        <w:rPr>
          <w:rFonts w:cs="Arial"/>
          <w:sz w:val="24"/>
          <w:szCs w:val="24"/>
        </w:rPr>
      </w:pP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ANALISI DELLE IMPOSTE – CATEGORIA 01</w:t>
      </w:r>
    </w:p>
    <w:p w:rsidR="002F032A" w:rsidRDefault="007A5089"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Il 70,38 % delle entrate tributarie proprie sono derivate dall'imposizione sul veicolo: l'IPT in base alla movimentazione dei veicoli (acquisto di nuovi veicoli o usati), l'RCA sul possesso dei veicoli circolanti. Pare pertanto evidente che situazioni altalenanti del mercato automobilistico comportino, come conseguenza, una difficoltà nell'esatta previsione di entrate correnti a fronte di finanziamento contestuale di spese correnti.</w:t>
      </w:r>
    </w:p>
    <w:p w:rsidR="00406D7D" w:rsidRPr="00DF5C5E" w:rsidRDefault="00406D7D"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Imposta RC Auto</w:t>
      </w:r>
      <w:r w:rsidR="00670E38" w:rsidRPr="00DF5C5E">
        <w:rPr>
          <w:rFonts w:ascii="Andalus" w:hAnsi="Andalus" w:cs="Andalus"/>
          <w:sz w:val="20"/>
          <w:szCs w:val="20"/>
          <w:lang w:eastAsia="it-IT"/>
        </w:rPr>
        <w:t>:</w:t>
      </w:r>
    </w:p>
    <w:p w:rsidR="00406D7D" w:rsidRPr="00DF5C5E" w:rsidRDefault="00406D7D"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L'imposta RCA si conferma come il maggior provento tributario provinciale, Il gettito è stato  definitivamente accertato per l'importo di € 4.633.647,11 e rappresenta  il 46,33% del totale delle entrate tributarie.</w:t>
      </w:r>
    </w:p>
    <w:p w:rsidR="002F032A" w:rsidRDefault="002F032A" w:rsidP="00DF5C5E">
      <w:pPr>
        <w:spacing w:line="360" w:lineRule="auto"/>
        <w:rPr>
          <w:rFonts w:ascii="Andalus" w:hAnsi="Andalus" w:cs="Andalus"/>
          <w:sz w:val="20"/>
          <w:szCs w:val="20"/>
          <w:lang w:eastAsia="it-IT"/>
        </w:rPr>
      </w:pPr>
    </w:p>
    <w:p w:rsidR="00406D7D" w:rsidRPr="00DF5C5E" w:rsidRDefault="00406D7D"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L'imposta è stata devoluta dallo Stato al</w:t>
      </w:r>
      <w:r w:rsidR="007A5089" w:rsidRPr="00DF5C5E">
        <w:rPr>
          <w:rFonts w:ascii="Andalus" w:hAnsi="Andalus" w:cs="Andalus"/>
          <w:sz w:val="20"/>
          <w:szCs w:val="20"/>
          <w:lang w:eastAsia="it-IT"/>
        </w:rPr>
        <w:t xml:space="preserve">le Province con il </w:t>
      </w:r>
      <w:proofErr w:type="spellStart"/>
      <w:r w:rsidR="007A5089" w:rsidRPr="00DF5C5E">
        <w:rPr>
          <w:rFonts w:ascii="Andalus" w:hAnsi="Andalus" w:cs="Andalus"/>
          <w:sz w:val="20"/>
          <w:szCs w:val="20"/>
          <w:lang w:eastAsia="it-IT"/>
        </w:rPr>
        <w:t>D.Lgs.</w:t>
      </w:r>
      <w:proofErr w:type="spellEnd"/>
      <w:r w:rsidRPr="00DF5C5E">
        <w:rPr>
          <w:rFonts w:ascii="Andalus" w:hAnsi="Andalus" w:cs="Andalus"/>
          <w:sz w:val="20"/>
          <w:szCs w:val="20"/>
          <w:lang w:eastAsia="it-IT"/>
        </w:rPr>
        <w:t xml:space="preserve"> n. 446/97. Queste non hanno alcuna competenza ne sulla aliquota da applicare ne sulla verifica dell'imposta, per cui la gestione è limitata solo alla riscossione mensile del dovuto </w:t>
      </w:r>
      <w:r w:rsidR="00670E38" w:rsidRPr="00DF5C5E">
        <w:rPr>
          <w:rFonts w:ascii="Andalus" w:hAnsi="Andalus" w:cs="Andalus"/>
          <w:sz w:val="20"/>
          <w:szCs w:val="20"/>
          <w:lang w:eastAsia="it-IT"/>
        </w:rPr>
        <w:t>che fino all'anno 2010 perveniva alle Province come trasferimento dai Concessionari della Riscossione di tutta Italia e dall'anno 2011 con i riversamenti mensili da parte dell'Agenzia delle entrate a cui le singole imprese di assicurazione versano l'imposta.</w:t>
      </w:r>
      <w:r w:rsidR="00695A27" w:rsidRPr="00DF5C5E">
        <w:rPr>
          <w:rFonts w:ascii="Andalus" w:hAnsi="Andalus" w:cs="Andalus"/>
          <w:sz w:val="20"/>
          <w:szCs w:val="20"/>
          <w:lang w:eastAsia="it-IT"/>
        </w:rPr>
        <w:t xml:space="preserve"> </w:t>
      </w:r>
      <w:r w:rsidR="00670E38" w:rsidRPr="00DF5C5E">
        <w:rPr>
          <w:rFonts w:ascii="Andalus" w:hAnsi="Andalus" w:cs="Andalus"/>
          <w:sz w:val="20"/>
          <w:szCs w:val="20"/>
          <w:lang w:eastAsia="it-IT"/>
        </w:rPr>
        <w:t>Le province, sino ad oggi, non hanno nessun controllo, ne possibilità di intervenire su questa procedura</w:t>
      </w:r>
      <w:r w:rsidR="00695A27" w:rsidRPr="00DF5C5E">
        <w:rPr>
          <w:rFonts w:ascii="Andalus" w:hAnsi="Andalus" w:cs="Andalus"/>
          <w:sz w:val="20"/>
          <w:szCs w:val="20"/>
          <w:lang w:eastAsia="it-IT"/>
        </w:rPr>
        <w:t>, r</w:t>
      </w:r>
      <w:r w:rsidRPr="00DF5C5E">
        <w:rPr>
          <w:rFonts w:ascii="Andalus" w:hAnsi="Andalus" w:cs="Andalus"/>
          <w:sz w:val="20"/>
          <w:szCs w:val="20"/>
          <w:lang w:eastAsia="it-IT"/>
        </w:rPr>
        <w:t>esta pertanto la difficoltà di controllare se davvero pervengono a ciascuna provincia i fondi che le competono e se tutti i contribuenti (le compagnie di assicurazione) pagano quanto dovuto.</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L'entità del tributo, a suo tempo fissata dallo Stato è pari al 12,50% del premio di assicurazione sulla respon</w:t>
      </w:r>
      <w:r w:rsidR="008C6360" w:rsidRPr="00DF5C5E">
        <w:rPr>
          <w:rFonts w:ascii="Andalus" w:hAnsi="Andalus" w:cs="Andalus"/>
          <w:sz w:val="20"/>
          <w:szCs w:val="20"/>
          <w:lang w:eastAsia="it-IT"/>
        </w:rPr>
        <w:t xml:space="preserve">sabilità civile auto. </w:t>
      </w:r>
      <w:r w:rsidR="007A5089" w:rsidRPr="00DF5C5E">
        <w:rPr>
          <w:rFonts w:ascii="Andalus" w:hAnsi="Andalus" w:cs="Andalus"/>
          <w:sz w:val="20"/>
          <w:szCs w:val="20"/>
          <w:lang w:eastAsia="it-IT"/>
        </w:rPr>
        <w:t xml:space="preserve">L'andamento del gettito </w:t>
      </w:r>
      <w:r w:rsidRPr="00DF5C5E">
        <w:rPr>
          <w:rFonts w:ascii="Andalus" w:hAnsi="Andalus" w:cs="Andalus"/>
          <w:sz w:val="20"/>
          <w:szCs w:val="20"/>
          <w:lang w:eastAsia="it-IT"/>
        </w:rPr>
        <w:t>dell'imposta</w:t>
      </w:r>
      <w:r w:rsidR="007A5089" w:rsidRPr="00DF5C5E">
        <w:rPr>
          <w:rFonts w:ascii="Andalus" w:hAnsi="Andalus" w:cs="Andalus"/>
          <w:sz w:val="20"/>
          <w:szCs w:val="20"/>
          <w:lang w:eastAsia="it-IT"/>
        </w:rPr>
        <w:t xml:space="preserve"> è pertanto conseguente</w:t>
      </w:r>
      <w:r w:rsidR="008C6360" w:rsidRPr="00DF5C5E">
        <w:rPr>
          <w:rFonts w:ascii="Andalus" w:hAnsi="Andalus" w:cs="Andalus"/>
          <w:sz w:val="20"/>
          <w:szCs w:val="20"/>
          <w:lang w:eastAsia="it-IT"/>
        </w:rPr>
        <w:t xml:space="preserve"> a diversi fattori come  l'entità dei premi,</w:t>
      </w:r>
      <w:r w:rsidRPr="00DF5C5E">
        <w:rPr>
          <w:rFonts w:ascii="Andalus" w:hAnsi="Andalus" w:cs="Andalus"/>
          <w:sz w:val="20"/>
          <w:szCs w:val="20"/>
          <w:lang w:eastAsia="it-IT"/>
        </w:rPr>
        <w:t xml:space="preserve"> dall'andamento del mer</w:t>
      </w:r>
      <w:r w:rsidR="00695A27" w:rsidRPr="00DF5C5E">
        <w:rPr>
          <w:rFonts w:ascii="Andalus" w:hAnsi="Andalus" w:cs="Andalus"/>
          <w:sz w:val="20"/>
          <w:szCs w:val="20"/>
          <w:lang w:eastAsia="it-IT"/>
        </w:rPr>
        <w:t>cato automobilistico</w:t>
      </w:r>
      <w:r w:rsidRPr="00DF5C5E">
        <w:rPr>
          <w:rFonts w:ascii="Andalus" w:hAnsi="Andalus" w:cs="Andalus"/>
          <w:sz w:val="20"/>
          <w:szCs w:val="20"/>
          <w:lang w:eastAsia="it-IT"/>
        </w:rPr>
        <w:t xml:space="preserve"> e quindi dal flusso delle immatricolazioni dei veicoli nuovi e usati</w:t>
      </w:r>
      <w:r w:rsidR="008C6360" w:rsidRPr="00DF5C5E">
        <w:rPr>
          <w:rFonts w:ascii="Andalus" w:hAnsi="Andalus" w:cs="Andalus"/>
          <w:sz w:val="20"/>
          <w:szCs w:val="20"/>
          <w:lang w:eastAsia="it-IT"/>
        </w:rPr>
        <w:t xml:space="preserve">, dal tasso  di incidentalità, dalla  flessibilità delle condizioni dei premi delle </w:t>
      </w:r>
      <w:r w:rsidRPr="00DF5C5E">
        <w:rPr>
          <w:rFonts w:ascii="Andalus" w:hAnsi="Andalus" w:cs="Andalus"/>
          <w:sz w:val="20"/>
          <w:szCs w:val="20"/>
          <w:lang w:eastAsia="it-IT"/>
        </w:rPr>
        <w:t xml:space="preserve"> polizze assicurative</w:t>
      </w:r>
      <w:r w:rsidR="008C6360" w:rsidRPr="00DF5C5E">
        <w:rPr>
          <w:rFonts w:ascii="Andalus" w:hAnsi="Andalus" w:cs="Andalus"/>
          <w:sz w:val="20"/>
          <w:szCs w:val="20"/>
          <w:lang w:eastAsia="it-IT"/>
        </w:rPr>
        <w:t>,</w:t>
      </w:r>
      <w:r w:rsidR="00695A27" w:rsidRPr="00DF5C5E">
        <w:rPr>
          <w:rFonts w:ascii="Andalus" w:hAnsi="Andalus" w:cs="Andalus"/>
          <w:sz w:val="20"/>
          <w:szCs w:val="20"/>
          <w:lang w:eastAsia="it-IT"/>
        </w:rPr>
        <w:t xml:space="preserve"> </w:t>
      </w:r>
      <w:r w:rsidR="00FD46AE" w:rsidRPr="00DF5C5E">
        <w:rPr>
          <w:rFonts w:ascii="Andalus" w:hAnsi="Andalus" w:cs="Andalus"/>
          <w:sz w:val="20"/>
          <w:szCs w:val="20"/>
          <w:lang w:eastAsia="it-IT"/>
        </w:rPr>
        <w:t>oltre alla</w:t>
      </w:r>
      <w:r w:rsidR="00695A27" w:rsidRPr="00DF5C5E">
        <w:rPr>
          <w:rFonts w:ascii="Andalus" w:hAnsi="Andalus" w:cs="Andalus"/>
          <w:sz w:val="20"/>
          <w:szCs w:val="20"/>
          <w:lang w:eastAsia="it-IT"/>
        </w:rPr>
        <w:t xml:space="preserve"> </w:t>
      </w:r>
      <w:r w:rsidR="00FD46AE" w:rsidRPr="00DF5C5E">
        <w:rPr>
          <w:rFonts w:ascii="Andalus" w:hAnsi="Andalus" w:cs="Andalus"/>
          <w:sz w:val="20"/>
          <w:szCs w:val="20"/>
          <w:lang w:eastAsia="it-IT"/>
        </w:rPr>
        <w:t>circolazione sempre in aumento di veicoli senza la copertura assicurativa</w:t>
      </w:r>
      <w:r w:rsidR="00695A27" w:rsidRPr="00DF5C5E">
        <w:rPr>
          <w:rFonts w:ascii="Andalus" w:hAnsi="Andalus" w:cs="Andalus"/>
          <w:sz w:val="20"/>
          <w:szCs w:val="20"/>
          <w:lang w:eastAsia="it-IT"/>
        </w:rPr>
        <w:t>.</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IPT - Imposta Provinciale di Trascrizione</w:t>
      </w:r>
    </w:p>
    <w:p w:rsidR="00406D7D" w:rsidRPr="00DF5C5E" w:rsidRDefault="008C6360" w:rsidP="00406D7D">
      <w:pPr>
        <w:jc w:val="both"/>
        <w:rPr>
          <w:rFonts w:ascii="Andalus" w:hAnsi="Andalus" w:cs="Andalus"/>
          <w:sz w:val="20"/>
          <w:szCs w:val="20"/>
          <w:lang w:eastAsia="it-IT"/>
        </w:rPr>
      </w:pPr>
      <w:r w:rsidRPr="00DF5C5E">
        <w:rPr>
          <w:rFonts w:ascii="Andalus" w:hAnsi="Andalus" w:cs="Andalus"/>
          <w:sz w:val="20"/>
          <w:szCs w:val="20"/>
          <w:lang w:eastAsia="it-IT"/>
        </w:rPr>
        <w:t>Il gettito  è stato</w:t>
      </w:r>
      <w:r w:rsidR="00406D7D" w:rsidRPr="00DF5C5E">
        <w:rPr>
          <w:rFonts w:ascii="Andalus" w:hAnsi="Andalus" w:cs="Andalus"/>
          <w:sz w:val="20"/>
          <w:szCs w:val="20"/>
          <w:lang w:eastAsia="it-IT"/>
        </w:rPr>
        <w:t xml:space="preserve"> definitivamente accertato per l'importo di € 2.449.859,15.  </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 xml:space="preserve">Anche questa imposta è la conseguenza del </w:t>
      </w:r>
      <w:proofErr w:type="spellStart"/>
      <w:r w:rsidRPr="00DF5C5E">
        <w:rPr>
          <w:rFonts w:ascii="Andalus" w:hAnsi="Andalus" w:cs="Andalus"/>
          <w:sz w:val="20"/>
          <w:szCs w:val="20"/>
          <w:lang w:eastAsia="it-IT"/>
        </w:rPr>
        <w:t>D.Lgs</w:t>
      </w:r>
      <w:proofErr w:type="spellEnd"/>
      <w:r w:rsidRPr="00DF5C5E">
        <w:rPr>
          <w:rFonts w:ascii="Andalus" w:hAnsi="Andalus" w:cs="Andalus"/>
          <w:sz w:val="20"/>
          <w:szCs w:val="20"/>
          <w:lang w:eastAsia="it-IT"/>
        </w:rPr>
        <w:t xml:space="preserve"> n. 446/97 (art. n. 51 e 56). Istituita nel 1999 l'imposta provinciale di trascrizione abolisce l'imposta erariale ex </w:t>
      </w:r>
      <w:proofErr w:type="spellStart"/>
      <w:r w:rsidRPr="00DF5C5E">
        <w:rPr>
          <w:rFonts w:ascii="Andalus" w:hAnsi="Andalus" w:cs="Andalus"/>
          <w:sz w:val="20"/>
          <w:szCs w:val="20"/>
          <w:lang w:eastAsia="it-IT"/>
        </w:rPr>
        <w:t>Iet</w:t>
      </w:r>
      <w:proofErr w:type="spellEnd"/>
      <w:r w:rsidRPr="00DF5C5E">
        <w:rPr>
          <w:rFonts w:ascii="Andalus" w:hAnsi="Andalus" w:cs="Andalus"/>
          <w:sz w:val="20"/>
          <w:szCs w:val="20"/>
          <w:lang w:eastAsia="it-IT"/>
        </w:rPr>
        <w:t xml:space="preserve"> e la correlata addizionale provinciale ex </w:t>
      </w:r>
      <w:proofErr w:type="spellStart"/>
      <w:r w:rsidRPr="00DF5C5E">
        <w:rPr>
          <w:rFonts w:ascii="Andalus" w:hAnsi="Andalus" w:cs="Andalus"/>
          <w:sz w:val="20"/>
          <w:szCs w:val="20"/>
          <w:lang w:eastAsia="it-IT"/>
        </w:rPr>
        <w:t>Apiet</w:t>
      </w:r>
      <w:proofErr w:type="spellEnd"/>
      <w:r w:rsidRPr="00DF5C5E">
        <w:rPr>
          <w:rFonts w:ascii="Andalus" w:hAnsi="Andalus" w:cs="Andalus"/>
          <w:sz w:val="20"/>
          <w:szCs w:val="20"/>
          <w:lang w:eastAsia="it-IT"/>
        </w:rPr>
        <w:t>. Il tributo, la cui gestione è esercitata dalle Province attraverso l'A.C.I. è dovuta dunque per le trascrizioni dei passaggi di proprietà di veicoli nuovi e usati. L'entità è determinata da una tariffa di base fissata da un decreto ministeriale (€ 150,81), incrementabile dalle province sino al 20% e a partire dal 2007 al 30%.</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La provincia di O</w:t>
      </w:r>
      <w:r w:rsidR="00695A27" w:rsidRPr="00DF5C5E">
        <w:rPr>
          <w:rFonts w:ascii="Andalus" w:hAnsi="Andalus" w:cs="Andalus"/>
          <w:sz w:val="20"/>
          <w:szCs w:val="20"/>
          <w:lang w:eastAsia="it-IT"/>
        </w:rPr>
        <w:t xml:space="preserve">ristano </w:t>
      </w:r>
      <w:r w:rsidRPr="00DF5C5E">
        <w:rPr>
          <w:rFonts w:ascii="Andalus" w:hAnsi="Andalus" w:cs="Andalus"/>
          <w:sz w:val="20"/>
          <w:szCs w:val="20"/>
          <w:lang w:eastAsia="it-IT"/>
        </w:rPr>
        <w:t>a</w:t>
      </w:r>
      <w:r w:rsidR="00695A27" w:rsidRPr="00DF5C5E">
        <w:rPr>
          <w:rFonts w:ascii="Andalus" w:hAnsi="Andalus" w:cs="Andalus"/>
          <w:sz w:val="20"/>
          <w:szCs w:val="20"/>
          <w:lang w:eastAsia="it-IT"/>
        </w:rPr>
        <w:t>pplica l'imposta nella misura del 30 %</w:t>
      </w:r>
      <w:r w:rsidRPr="00DF5C5E">
        <w:rPr>
          <w:rFonts w:ascii="Andalus" w:hAnsi="Andalus" w:cs="Andalus"/>
          <w:sz w:val="20"/>
          <w:szCs w:val="20"/>
          <w:lang w:eastAsia="it-IT"/>
        </w:rPr>
        <w:t xml:space="preserve"> </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Il gettito è determinato dalle fluttuazioni del mercato automobilistico ed ha, infatti registrato nel corso degli anni un andamento incostante.</w:t>
      </w:r>
    </w:p>
    <w:p w:rsidR="00406D7D" w:rsidRPr="00DF5C5E" w:rsidRDefault="00406D7D" w:rsidP="00406D7D">
      <w:pPr>
        <w:jc w:val="both"/>
        <w:rPr>
          <w:rFonts w:ascii="Andalus" w:hAnsi="Andalus" w:cs="Andalus"/>
          <w:sz w:val="20"/>
          <w:szCs w:val="20"/>
          <w:lang w:eastAsia="it-IT"/>
        </w:rPr>
      </w:pP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 xml:space="preserve">Addizionale </w:t>
      </w:r>
      <w:r w:rsidR="00177541" w:rsidRPr="00DF5C5E">
        <w:rPr>
          <w:rFonts w:ascii="Andalus" w:hAnsi="Andalus" w:cs="Andalus"/>
          <w:sz w:val="20"/>
          <w:szCs w:val="20"/>
          <w:lang w:eastAsia="it-IT"/>
        </w:rPr>
        <w:t>provinciale sull'accisa dell'</w:t>
      </w:r>
      <w:r w:rsidRPr="00DF5C5E">
        <w:rPr>
          <w:rFonts w:ascii="Andalus" w:hAnsi="Andalus" w:cs="Andalus"/>
          <w:sz w:val="20"/>
          <w:szCs w:val="20"/>
          <w:lang w:eastAsia="it-IT"/>
        </w:rPr>
        <w:t>Energia Elettrica</w:t>
      </w:r>
    </w:p>
    <w:p w:rsidR="00177541" w:rsidRPr="00DF5C5E" w:rsidRDefault="00177541" w:rsidP="00406D7D">
      <w:pPr>
        <w:jc w:val="both"/>
        <w:rPr>
          <w:rFonts w:ascii="Andalus" w:hAnsi="Andalus" w:cs="Andalus"/>
          <w:sz w:val="20"/>
          <w:szCs w:val="20"/>
          <w:lang w:eastAsia="it-IT"/>
        </w:rPr>
      </w:pPr>
      <w:r w:rsidRPr="00DF5C5E">
        <w:rPr>
          <w:rFonts w:ascii="Andalus" w:hAnsi="Andalus" w:cs="Andalus"/>
          <w:sz w:val="20"/>
          <w:szCs w:val="20"/>
          <w:lang w:eastAsia="it-IT"/>
        </w:rPr>
        <w:t xml:space="preserve">L'addizionale è stata istituita dall'art. 6, comma 2, lettera c) del D.L. 28 novembre 1988, n. 511, convertito in legge 27 gennaio 1989, n. 20, modificato dall'art. 10, comma 9, della legge 13 maggio 1999, n. 133 con il quale veniva istituita una addizionale di L. 18 in favore delle province sui consumi di energia elettrica per qualsiasi uso effettuato in locali e luoghi diversi dalle abitazioni, per tutte le utenze, fino al limite massimo di 200.000 </w:t>
      </w:r>
      <w:proofErr w:type="spellStart"/>
      <w:r w:rsidRPr="00DF5C5E">
        <w:rPr>
          <w:rFonts w:ascii="Andalus" w:hAnsi="Andalus" w:cs="Andalus"/>
          <w:sz w:val="20"/>
          <w:szCs w:val="20"/>
          <w:lang w:eastAsia="it-IT"/>
        </w:rPr>
        <w:t>KWh</w:t>
      </w:r>
      <w:proofErr w:type="spellEnd"/>
      <w:r w:rsidRPr="00DF5C5E">
        <w:rPr>
          <w:rFonts w:ascii="Andalus" w:hAnsi="Andalus" w:cs="Andalus"/>
          <w:sz w:val="20"/>
          <w:szCs w:val="20"/>
          <w:lang w:eastAsia="it-IT"/>
        </w:rPr>
        <w:t>. di consumo al mese.</w:t>
      </w:r>
    </w:p>
    <w:p w:rsidR="00000036" w:rsidRPr="00DF5C5E" w:rsidRDefault="008C6360" w:rsidP="00000036">
      <w:pPr>
        <w:jc w:val="both"/>
        <w:rPr>
          <w:rFonts w:ascii="Andalus" w:hAnsi="Andalus" w:cs="Andalus"/>
          <w:sz w:val="20"/>
          <w:szCs w:val="20"/>
          <w:lang w:eastAsia="it-IT"/>
        </w:rPr>
      </w:pPr>
      <w:r w:rsidRPr="00DF5C5E">
        <w:rPr>
          <w:rFonts w:ascii="Andalus" w:hAnsi="Andalus" w:cs="Andalus"/>
          <w:sz w:val="20"/>
          <w:szCs w:val="20"/>
          <w:lang w:eastAsia="it-IT"/>
        </w:rPr>
        <w:t>L</w:t>
      </w:r>
      <w:r w:rsidR="00406D7D" w:rsidRPr="00DF5C5E">
        <w:rPr>
          <w:rFonts w:ascii="Andalus" w:hAnsi="Andalus" w:cs="Andalus"/>
          <w:sz w:val="20"/>
          <w:szCs w:val="20"/>
          <w:lang w:eastAsia="it-IT"/>
        </w:rPr>
        <w:t xml:space="preserve">'ammontare dell'imposta è stabilita dallo Stato (0,00930 per </w:t>
      </w:r>
      <w:proofErr w:type="spellStart"/>
      <w:r w:rsidR="00406D7D" w:rsidRPr="00DF5C5E">
        <w:rPr>
          <w:rFonts w:ascii="Andalus" w:hAnsi="Andalus" w:cs="Andalus"/>
          <w:sz w:val="20"/>
          <w:szCs w:val="20"/>
          <w:lang w:eastAsia="it-IT"/>
        </w:rPr>
        <w:t>Kwh</w:t>
      </w:r>
      <w:proofErr w:type="spellEnd"/>
      <w:r w:rsidR="00406D7D" w:rsidRPr="00DF5C5E">
        <w:rPr>
          <w:rFonts w:ascii="Andalus" w:hAnsi="Andalus" w:cs="Andalus"/>
          <w:sz w:val="20"/>
          <w:szCs w:val="20"/>
          <w:lang w:eastAsia="it-IT"/>
        </w:rPr>
        <w:t>)</w:t>
      </w:r>
      <w:r w:rsidR="00177541" w:rsidRPr="00DF5C5E">
        <w:rPr>
          <w:rFonts w:ascii="Andalus" w:hAnsi="Andalus" w:cs="Andalus"/>
          <w:sz w:val="20"/>
          <w:szCs w:val="20"/>
          <w:lang w:eastAsia="it-IT"/>
        </w:rPr>
        <w:t>,</w:t>
      </w:r>
      <w:r w:rsidR="00406D7D" w:rsidRPr="00DF5C5E">
        <w:rPr>
          <w:rFonts w:ascii="Andalus" w:hAnsi="Andalus" w:cs="Andalus"/>
          <w:sz w:val="20"/>
          <w:szCs w:val="20"/>
          <w:lang w:eastAsia="it-IT"/>
        </w:rPr>
        <w:t xml:space="preserve"> mentre le province hanno la possibilità di elevare l'aliquota sino ad un tetto massimo di € 0,01140, c</w:t>
      </w:r>
      <w:r w:rsidR="00177541" w:rsidRPr="00DF5C5E">
        <w:rPr>
          <w:rFonts w:ascii="Andalus" w:hAnsi="Andalus" w:cs="Andalus"/>
          <w:sz w:val="20"/>
          <w:szCs w:val="20"/>
          <w:lang w:eastAsia="it-IT"/>
        </w:rPr>
        <w:t xml:space="preserve">osì come previsto dal </w:t>
      </w:r>
      <w:proofErr w:type="spellStart"/>
      <w:r w:rsidR="00177541" w:rsidRPr="00DF5C5E">
        <w:rPr>
          <w:rFonts w:ascii="Andalus" w:hAnsi="Andalus" w:cs="Andalus"/>
          <w:sz w:val="20"/>
          <w:szCs w:val="20"/>
          <w:lang w:eastAsia="it-IT"/>
        </w:rPr>
        <w:t>D.Lgs.</w:t>
      </w:r>
      <w:proofErr w:type="spellEnd"/>
      <w:r w:rsidR="00177541" w:rsidRPr="00DF5C5E">
        <w:rPr>
          <w:rFonts w:ascii="Andalus" w:hAnsi="Andalus" w:cs="Andalus"/>
          <w:sz w:val="20"/>
          <w:szCs w:val="20"/>
          <w:lang w:eastAsia="it-IT"/>
        </w:rPr>
        <w:t xml:space="preserve"> 26 del 2 febbraio 20</w:t>
      </w:r>
      <w:r w:rsidR="00406D7D" w:rsidRPr="00DF5C5E">
        <w:rPr>
          <w:rFonts w:ascii="Andalus" w:hAnsi="Andalus" w:cs="Andalus"/>
          <w:sz w:val="20"/>
          <w:szCs w:val="20"/>
          <w:lang w:eastAsia="it-IT"/>
        </w:rPr>
        <w:t>07.</w:t>
      </w:r>
    </w:p>
    <w:p w:rsidR="00000036" w:rsidRPr="00DF5C5E" w:rsidRDefault="00000036" w:rsidP="00000036">
      <w:pPr>
        <w:jc w:val="both"/>
        <w:rPr>
          <w:rFonts w:ascii="Andalus" w:hAnsi="Andalus" w:cs="Andalus"/>
          <w:sz w:val="20"/>
          <w:szCs w:val="20"/>
          <w:lang w:eastAsia="it-IT"/>
        </w:rPr>
      </w:pPr>
      <w:r w:rsidRPr="00DF5C5E">
        <w:rPr>
          <w:rFonts w:ascii="Andalus" w:hAnsi="Andalus" w:cs="Andalus"/>
          <w:sz w:val="20"/>
          <w:szCs w:val="20"/>
          <w:lang w:eastAsia="it-IT"/>
        </w:rPr>
        <w:t>In virtù delle innovazioni introdotte dal cosiddetto decreto Bersani (</w:t>
      </w:r>
      <w:proofErr w:type="spellStart"/>
      <w:r w:rsidRPr="00DF5C5E">
        <w:rPr>
          <w:rFonts w:ascii="Andalus" w:hAnsi="Andalus" w:cs="Andalus"/>
          <w:sz w:val="20"/>
          <w:szCs w:val="20"/>
          <w:lang w:eastAsia="it-IT"/>
        </w:rPr>
        <w:t>D.Lg.vo</w:t>
      </w:r>
      <w:proofErr w:type="spellEnd"/>
      <w:r w:rsidRPr="00DF5C5E">
        <w:rPr>
          <w:rFonts w:ascii="Andalus" w:hAnsi="Andalus" w:cs="Andalus"/>
          <w:sz w:val="20"/>
          <w:szCs w:val="20"/>
          <w:lang w:eastAsia="it-IT"/>
        </w:rPr>
        <w:t xml:space="preserve"> 16.3.1999, n. 79),  che ha avviato la liberalizzazione del mercato dell’energia elettrica, la vendita di energia a clienti situati nella Provincia di Oristano è  </w:t>
      </w:r>
      <w:r w:rsidRPr="00DF5C5E">
        <w:rPr>
          <w:rFonts w:ascii="Andalus" w:hAnsi="Andalus" w:cs="Andalus"/>
          <w:sz w:val="20"/>
          <w:szCs w:val="20"/>
          <w:lang w:eastAsia="it-IT"/>
        </w:rPr>
        <w:lastRenderedPageBreak/>
        <w:t>effettuata da molti operatori economici i quali sulla base delle dichiarazioni di consumo da presentare annualmente all’Agenzia delle Dogane hanno l’obbligo di versare, la relativa addizionale provinciale sulla base dell’aliquota deliberata.</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L'Addizionale all'accisa sull'energia elettrica è versata in acconti mensili dai fornitori di energia elettrica sulla base dei consumi accertati l'anno precedente, nel mese di marzo dell'anno successivo viene liquidata definitivamente l'imposta in relazione ai consumi reali e calcolato il conguaglio dei versamenti (che può assumere valore positivo o negativo)</w:t>
      </w:r>
    </w:p>
    <w:p w:rsidR="008C6360" w:rsidRPr="00DF5C5E" w:rsidRDefault="008C6360" w:rsidP="00406D7D">
      <w:pPr>
        <w:jc w:val="both"/>
        <w:rPr>
          <w:rFonts w:ascii="Andalus" w:hAnsi="Andalus" w:cs="Andalus"/>
          <w:sz w:val="20"/>
          <w:szCs w:val="20"/>
          <w:lang w:eastAsia="it-IT"/>
        </w:rPr>
      </w:pPr>
      <w:r w:rsidRPr="00DF5C5E">
        <w:rPr>
          <w:rFonts w:ascii="Andalus" w:hAnsi="Andalus" w:cs="Andalus"/>
          <w:sz w:val="20"/>
          <w:szCs w:val="20"/>
          <w:lang w:eastAsia="it-IT"/>
        </w:rPr>
        <w:t xml:space="preserve">Il gettito  è stato definitivamente accertato per l'importo di € 2.191.580,43.  </w:t>
      </w:r>
    </w:p>
    <w:p w:rsidR="00406D7D" w:rsidRPr="00DF5C5E" w:rsidRDefault="00406D7D" w:rsidP="00406D7D">
      <w:pPr>
        <w:jc w:val="both"/>
        <w:rPr>
          <w:rFonts w:ascii="Andalus" w:hAnsi="Andalus" w:cs="Andalus"/>
          <w:sz w:val="20"/>
          <w:szCs w:val="20"/>
          <w:lang w:eastAsia="it-IT"/>
        </w:rPr>
      </w:pPr>
      <w:proofErr w:type="spellStart"/>
      <w:r w:rsidRPr="00DF5C5E">
        <w:rPr>
          <w:rFonts w:ascii="Andalus" w:hAnsi="Andalus" w:cs="Andalus"/>
          <w:sz w:val="20"/>
          <w:szCs w:val="20"/>
          <w:lang w:eastAsia="it-IT"/>
        </w:rPr>
        <w:t>Tefa</w:t>
      </w:r>
      <w:proofErr w:type="spellEnd"/>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 xml:space="preserve">Questo tributo è stato istituito dal </w:t>
      </w:r>
      <w:proofErr w:type="spellStart"/>
      <w:r w:rsidRPr="00DF5C5E">
        <w:rPr>
          <w:rFonts w:ascii="Andalus" w:hAnsi="Andalus" w:cs="Andalus"/>
          <w:sz w:val="20"/>
          <w:szCs w:val="20"/>
          <w:lang w:eastAsia="it-IT"/>
        </w:rPr>
        <w:t>D.Lgs</w:t>
      </w:r>
      <w:proofErr w:type="spellEnd"/>
      <w:r w:rsidRPr="00DF5C5E">
        <w:rPr>
          <w:rFonts w:ascii="Andalus" w:hAnsi="Andalus" w:cs="Andalus"/>
          <w:sz w:val="20"/>
          <w:szCs w:val="20"/>
          <w:lang w:eastAsia="it-IT"/>
        </w:rPr>
        <w:t xml:space="preserve"> n. 504/92 ma è gestito direttamente dai Comuni, per cui trattasi anche in questo caso di una sorta di addizionale in quanto le province possono applicare una aliquota, che la norma stabilisce tra un minimo dell'1% ed un massimo del 5%, sulla tassa o della tariffa che i comuni applicano per lo smaltimento dei rifiuti.</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Il tributo viene commisurato alla superficie degli immobili assoggettati dai Comuni alla tassa per lo smaltimento dei rifiuti ed è dovuto dagli stessi soggetti che, sulla base delle disposizioni vigenti, sono tenuti al pagamento della predetta tassa. I proventi sono, quindi, correlati strettamente alla capacità impositiva dei Comuni del territorio che annualmente determinano le loro tariffe.</w:t>
      </w:r>
    </w:p>
    <w:p w:rsidR="00406D7D" w:rsidRPr="00DF5C5E" w:rsidRDefault="00406D7D" w:rsidP="00406D7D">
      <w:pPr>
        <w:jc w:val="both"/>
        <w:rPr>
          <w:rFonts w:ascii="Andalus" w:hAnsi="Andalus" w:cs="Andalus"/>
          <w:sz w:val="20"/>
          <w:szCs w:val="20"/>
          <w:lang w:eastAsia="it-IT"/>
        </w:rPr>
      </w:pPr>
      <w:r w:rsidRPr="00DF5C5E">
        <w:rPr>
          <w:rFonts w:ascii="Andalus" w:hAnsi="Andalus" w:cs="Andalus"/>
          <w:sz w:val="20"/>
          <w:szCs w:val="20"/>
          <w:lang w:eastAsia="it-IT"/>
        </w:rPr>
        <w:t>La Provincia di Oristano, come la quasi generalità delle province, ha applicato da anni l'aliquota massima del 5%. Il tributo era stato soppresso dal "codice dell'ambiente" ripristinato poi con la finanziaria 2007.</w:t>
      </w:r>
      <w:r w:rsidR="007939CA" w:rsidRPr="00DF5C5E">
        <w:rPr>
          <w:rFonts w:ascii="Andalus" w:hAnsi="Andalus" w:cs="Andalus"/>
          <w:sz w:val="20"/>
          <w:szCs w:val="20"/>
          <w:lang w:eastAsia="it-IT"/>
        </w:rPr>
        <w:t xml:space="preserve"> </w:t>
      </w:r>
      <w:r w:rsidRPr="00DF5C5E">
        <w:rPr>
          <w:rFonts w:ascii="Andalus" w:hAnsi="Andalus" w:cs="Andalus"/>
          <w:sz w:val="20"/>
          <w:szCs w:val="20"/>
          <w:lang w:eastAsia="it-IT"/>
        </w:rPr>
        <w:t>La dinamica del gettito è influenz</w:t>
      </w:r>
      <w:r w:rsidR="007939CA" w:rsidRPr="00DF5C5E">
        <w:rPr>
          <w:rFonts w:ascii="Andalus" w:hAnsi="Andalus" w:cs="Andalus"/>
          <w:sz w:val="20"/>
          <w:szCs w:val="20"/>
          <w:lang w:eastAsia="it-IT"/>
        </w:rPr>
        <w:t>ata dall'e</w:t>
      </w:r>
      <w:r w:rsidRPr="00DF5C5E">
        <w:rPr>
          <w:rFonts w:ascii="Andalus" w:hAnsi="Andalus" w:cs="Andalus"/>
          <w:sz w:val="20"/>
          <w:szCs w:val="20"/>
          <w:lang w:eastAsia="it-IT"/>
        </w:rPr>
        <w:t>voluzione della tassa o tariffa gestita dai Comuni, per cui risente dell'aggiornamento delle tariffe e del recupero dell'evasione.</w:t>
      </w:r>
    </w:p>
    <w:p w:rsidR="00406D7D" w:rsidRPr="00DF5C5E" w:rsidRDefault="00406D7D" w:rsidP="00406D7D">
      <w:pPr>
        <w:spacing w:line="360" w:lineRule="auto"/>
        <w:jc w:val="both"/>
        <w:rPr>
          <w:rFonts w:ascii="Andalus" w:hAnsi="Andalus" w:cs="Andalus"/>
          <w:sz w:val="20"/>
          <w:szCs w:val="20"/>
          <w:lang w:eastAsia="it-IT"/>
        </w:rPr>
      </w:pPr>
    </w:p>
    <w:p w:rsidR="00406D7D" w:rsidRDefault="00406D7D" w:rsidP="00C94484">
      <w:pPr>
        <w:spacing w:line="360" w:lineRule="auto"/>
        <w:ind w:firstLine="708"/>
        <w:jc w:val="center"/>
        <w:rPr>
          <w:rFonts w:cs="Arial"/>
          <w:sz w:val="24"/>
          <w:szCs w:val="24"/>
        </w:rPr>
      </w:pPr>
    </w:p>
    <w:p w:rsidR="00C94484" w:rsidRDefault="00A50F2E" w:rsidP="005A4A91">
      <w:pPr>
        <w:spacing w:line="360" w:lineRule="auto"/>
        <w:jc w:val="center"/>
        <w:rPr>
          <w:rFonts w:cs="Arial"/>
          <w:sz w:val="24"/>
          <w:szCs w:val="24"/>
        </w:rPr>
      </w:pPr>
      <w:r>
        <w:rPr>
          <w:rFonts w:cs="Arial"/>
          <w:sz w:val="24"/>
          <w:szCs w:val="24"/>
        </w:rPr>
        <w:fldChar w:fldCharType="begin"/>
      </w:r>
      <w:r w:rsidR="002654F0">
        <w:rPr>
          <w:rFonts w:cs="Arial"/>
          <w:sz w:val="24"/>
          <w:szCs w:val="24"/>
        </w:rPr>
        <w:instrText xml:space="preserve"> LINK Excel.Sheet.8 "\\\\srvfs01\\Programmazione_Finanziaria_Bilancio\\AREA COMUNE RAGIONERIA\\ENTRATE RENDICONTO 2011\\ACCERTAMENTI IMPOSTE.xls!Foglio1!R6C3:R11C8" "" \a \p \* MERGEFORMAT </w:instrText>
      </w:r>
      <w:r>
        <w:rPr>
          <w:rFonts w:cs="Arial"/>
          <w:sz w:val="24"/>
          <w:szCs w:val="24"/>
        </w:rPr>
        <w:fldChar w:fldCharType="separate"/>
      </w:r>
      <w:r w:rsidR="006D5FA4" w:rsidRPr="00A50F2E">
        <w:rPr>
          <w:rFonts w:cs="Arial"/>
          <w:sz w:val="24"/>
          <w:szCs w:val="24"/>
        </w:rPr>
        <w:object w:dxaOrig="15936" w:dyaOrig="4457">
          <v:shape id="_x0000_i1040" type="#_x0000_t75" style="width:525pt;height:135pt">
            <v:imagedata r:id="rId23" o:title=""/>
          </v:shape>
        </w:object>
      </w:r>
      <w:r>
        <w:rPr>
          <w:rFonts w:cs="Arial"/>
          <w:sz w:val="24"/>
          <w:szCs w:val="24"/>
        </w:rPr>
        <w:fldChar w:fldCharType="end"/>
      </w:r>
    </w:p>
    <w:p w:rsidR="00C94484" w:rsidRDefault="00A50F2E" w:rsidP="00C94484">
      <w:pPr>
        <w:spacing w:line="360" w:lineRule="auto"/>
        <w:jc w:val="center"/>
        <w:rPr>
          <w:rFonts w:cs="Arial"/>
          <w:sz w:val="24"/>
          <w:szCs w:val="24"/>
        </w:rPr>
      </w:pPr>
      <w:r>
        <w:rPr>
          <w:rFonts w:cs="Arial"/>
          <w:sz w:val="24"/>
          <w:szCs w:val="24"/>
        </w:rPr>
        <w:lastRenderedPageBreak/>
        <w:fldChar w:fldCharType="begin"/>
      </w:r>
      <w:r w:rsidR="002654F0">
        <w:rPr>
          <w:rFonts w:cs="Arial"/>
          <w:sz w:val="24"/>
          <w:szCs w:val="24"/>
        </w:rPr>
        <w:instrText xml:space="preserve"> LINK Excel.Sheet.8 "\\\\srvfs01\\Programmazione_Finanziaria_Bilancio\\AREA COMUNE RAGIONERIA\\ENTRATE RENDICONTO 2011\\ACCERTAMENTI IMPOSTE.xls!Foglio3![ACCERTAMENTI IMPOSTE.xls]Foglio3 Chart 1" "" \a \p \* MERGEFORMAT </w:instrText>
      </w:r>
      <w:r>
        <w:rPr>
          <w:rFonts w:cs="Arial"/>
          <w:sz w:val="24"/>
          <w:szCs w:val="24"/>
        </w:rPr>
        <w:fldChar w:fldCharType="separate"/>
      </w:r>
      <w:r w:rsidRPr="00A50F2E">
        <w:rPr>
          <w:rFonts w:cs="Arial"/>
          <w:sz w:val="24"/>
          <w:szCs w:val="24"/>
        </w:rPr>
        <w:object w:dxaOrig="4320" w:dyaOrig="4320">
          <v:shape id="_x0000_i1041" type="#_x0000_t75" style="width:515.4pt;height:243pt">
            <v:imagedata r:id="rId24" o:title=""/>
          </v:shape>
        </w:object>
      </w:r>
      <w:r>
        <w:rPr>
          <w:rFonts w:cs="Arial"/>
          <w:sz w:val="24"/>
          <w:szCs w:val="24"/>
        </w:rPr>
        <w:fldChar w:fldCharType="end"/>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L'andamento del gettito sopratutto alla fine  dell'anno 2011 ha subito un aumento che ha portato rispetto alle previsioni definitive di bilancio un significativo incremento delle entrate tributarie,   in particolare per l'RCA (+ 11,39%) e per il Tributo per l'esercizio delle funzioni di tutela, protezione e igiene dell'ambiente TEFA (+ 17,13 %). Il gettito del'imposta Provinciale di Trascrizione (IPT) è  dell'addizionale Provinciale all'accisa sull'energia elettrica è rimasto in linea con le previsioni di bilancio.</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La tabella che segue riporta i valori risultanti dalla comparazione, (parità di aliquote, misure, etc.) tra i dati relativi agli accertamenti di competenza 2010 e 2011.</w:t>
      </w:r>
    </w:p>
    <w:p w:rsidR="00C341B0" w:rsidRDefault="00A50F2E" w:rsidP="00C94484">
      <w:pPr>
        <w:spacing w:line="360" w:lineRule="auto"/>
        <w:jc w:val="both"/>
        <w:rPr>
          <w:rFonts w:cs="Arial"/>
          <w:sz w:val="24"/>
          <w:szCs w:val="24"/>
        </w:rPr>
      </w:pPr>
      <w:r>
        <w:rPr>
          <w:rFonts w:cs="Arial"/>
          <w:sz w:val="24"/>
          <w:szCs w:val="24"/>
        </w:rPr>
        <w:fldChar w:fldCharType="begin"/>
      </w:r>
      <w:r w:rsidR="002654F0">
        <w:rPr>
          <w:rFonts w:cs="Arial"/>
          <w:sz w:val="24"/>
          <w:szCs w:val="24"/>
        </w:rPr>
        <w:instrText xml:space="preserve"> LINK Excel.Sheet.8 "Cartel1!Foglio1!R5C2:R9C5" "" \a \p </w:instrText>
      </w:r>
      <w:r>
        <w:rPr>
          <w:rFonts w:cs="Arial"/>
          <w:sz w:val="24"/>
          <w:szCs w:val="24"/>
        </w:rPr>
        <w:fldChar w:fldCharType="separate"/>
      </w:r>
      <w:r w:rsidR="006D5FA4" w:rsidRPr="00A50F2E">
        <w:rPr>
          <w:rFonts w:cs="Arial"/>
          <w:sz w:val="24"/>
          <w:szCs w:val="24"/>
        </w:rPr>
        <w:object w:dxaOrig="14775" w:dyaOrig="4937">
          <v:shape id="_x0000_i1042" type="#_x0000_t75" style="width:515.4pt;height:160.2pt">
            <v:imagedata r:id="rId25" o:title=""/>
          </v:shape>
        </w:object>
      </w:r>
      <w:r>
        <w:rPr>
          <w:rFonts w:cs="Arial"/>
          <w:sz w:val="24"/>
          <w:szCs w:val="24"/>
        </w:rPr>
        <w:fldChar w:fldCharType="end"/>
      </w:r>
    </w:p>
    <w:p w:rsidR="00C94484" w:rsidRDefault="00C94484" w:rsidP="00C94484">
      <w:pPr>
        <w:spacing w:line="360" w:lineRule="auto"/>
        <w:jc w:val="both"/>
      </w:pPr>
    </w:p>
    <w:p w:rsidR="002F032A" w:rsidRDefault="002F032A" w:rsidP="00DF5C5E">
      <w:pPr>
        <w:spacing w:line="360" w:lineRule="auto"/>
        <w:rPr>
          <w:rFonts w:ascii="Andalus" w:hAnsi="Andalus" w:cs="Andalus"/>
          <w:sz w:val="20"/>
          <w:szCs w:val="20"/>
          <w:lang w:eastAsia="it-IT"/>
        </w:rPr>
      </w:pPr>
    </w:p>
    <w:p w:rsidR="002F032A" w:rsidRDefault="002F032A" w:rsidP="00DF5C5E">
      <w:pPr>
        <w:spacing w:line="360" w:lineRule="auto"/>
        <w:rPr>
          <w:rFonts w:ascii="Andalus" w:hAnsi="Andalus" w:cs="Andalus"/>
          <w:sz w:val="20"/>
          <w:szCs w:val="20"/>
          <w:lang w:eastAsia="it-IT"/>
        </w:rPr>
      </w:pP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lastRenderedPageBreak/>
        <w:t xml:space="preserve">Dal Raffronto con le somme accertate nell'anno 2010 si evidenzia un lieve incremento dell'addizionale Provinciale all'accisa sull'energia elettrica e un significativo aumento dei versamenti per l'imposta RC auto (+ 4,57%). </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Si registra invece una sostanziale flessione (-6,3%) degli introiti dell'imposta provinciale di trascrizione (IPT), giustificata dalla situazione congiunturale di crisi economica che ha interessato in particolare il mercato dell'auto. </w:t>
      </w:r>
    </w:p>
    <w:p w:rsidR="00803EA5"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Un discorso a parte si deve fare per il Tributo per l'esercizio di tutela protezione e igiene dell'ambiente TEFA, quest'ultimo tributo, collegato alla tassa rifiuti e alla modalità di riscossione mediante ruoli, presenta notevoli difficoltà per la gestione e il controllo dei versamenti che vengono effettuati dai numerosi Concessionari della Riscossione o direttamente dai Comuni che riscuotono</w:t>
      </w:r>
      <w:r w:rsidR="00DE570D" w:rsidRPr="00DF5C5E">
        <w:rPr>
          <w:rFonts w:ascii="Andalus" w:hAnsi="Andalus" w:cs="Andalus"/>
          <w:sz w:val="20"/>
          <w:szCs w:val="20"/>
          <w:lang w:eastAsia="it-IT"/>
        </w:rPr>
        <w:t xml:space="preserve"> direttamente la tassa</w:t>
      </w:r>
      <w:r w:rsidRPr="00DF5C5E">
        <w:rPr>
          <w:rFonts w:ascii="Andalus" w:hAnsi="Andalus" w:cs="Andalus"/>
          <w:sz w:val="20"/>
          <w:szCs w:val="20"/>
          <w:lang w:eastAsia="it-IT"/>
        </w:rPr>
        <w:t xml:space="preserve">. </w:t>
      </w:r>
      <w:r w:rsidR="00FE5267" w:rsidRPr="00DF5C5E">
        <w:rPr>
          <w:rFonts w:ascii="Andalus" w:hAnsi="Andalus" w:cs="Andalus"/>
          <w:sz w:val="20"/>
          <w:szCs w:val="20"/>
          <w:lang w:eastAsia="it-IT"/>
        </w:rPr>
        <w:t xml:space="preserve">In attesa che </w:t>
      </w:r>
      <w:r w:rsidRPr="00DF5C5E">
        <w:rPr>
          <w:rFonts w:ascii="Andalus" w:hAnsi="Andalus" w:cs="Andalus"/>
          <w:sz w:val="20"/>
          <w:szCs w:val="20"/>
          <w:lang w:eastAsia="it-IT"/>
        </w:rPr>
        <w:t xml:space="preserve"> modalità</w:t>
      </w:r>
      <w:r w:rsidR="00FE5267" w:rsidRPr="00DF5C5E">
        <w:rPr>
          <w:rFonts w:ascii="Andalus" w:hAnsi="Andalus" w:cs="Andalus"/>
          <w:sz w:val="20"/>
          <w:szCs w:val="20"/>
          <w:lang w:eastAsia="it-IT"/>
        </w:rPr>
        <w:t xml:space="preserve">, </w:t>
      </w:r>
      <w:r w:rsidRPr="00DF5C5E">
        <w:rPr>
          <w:rFonts w:ascii="Andalus" w:hAnsi="Andalus" w:cs="Andalus"/>
          <w:sz w:val="20"/>
          <w:szCs w:val="20"/>
          <w:lang w:eastAsia="it-IT"/>
        </w:rPr>
        <w:t xml:space="preserve"> tempi di versamento e trasmissione degli atti da parte dei Comuni relativi ai ruoli emessi siano regolamentati dall'ente, anche nel corso dell'anno 2011, l'attività di verifica e controllo sui  Comuni che effettuano la riscossione diretta ha portato ad un sostanziale incremento del gettito rispetto alle previsioni iniziali.</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TASSE (Cat. 02) </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Per quanto riguarda la Cat. 02 - Tasse, da segnalare solo la Tassa per l'occupazione di spazi ed aree pubbliche, che mantiene un trend costante nel tempo.</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Il Consiglio Provinciale con deliberazione n. 3 del 19.02.1996 ha disposto di non applicare la tassa sui passi carrabili esistenti nel territorio provinciale, a far data dal 1° gennaio 1996, per cui l’introito deriva solamente dalla tassa che pagano le aziende di erogazione di pubblici servizi, da occupazioni temporanee di suolo pubblico in specie per sistemazione di ponteggi lungo le traverse delle strade provinciali dei centri abitati e da un limitato numero di occupazioni permanenti.</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Nell’esercizio 2011 l’accertamento è risultato pari a  € 37.322,14.       </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TITOLO 2°: ENTRATE DERIVANTI DA CONTRIBUTI E TRASFERIMENTI CORRENTI DELLO STATO, DELLA REGIONE E ALTRI ENTI PUBBLICI.</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Le entrate del titolo II provengono da contributi e trasferimenti correnti dello Stato, della Regione (anche per l’esercizio di funzioni delegate), da organismi comunitari e da altri enti pubblici.</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Sono quelle che hanno contribuito maggiormente alle entrate della Provincia, infatti  il 52,39 % del totale degli accertamenti di competenza deriva dalle entrate di questo titolo.</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Rispetto all'anno 2010 si registra un aumento del 19,80 %.</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Si </w:t>
      </w:r>
      <w:r w:rsidR="001B769A" w:rsidRPr="00DF5C5E">
        <w:rPr>
          <w:rFonts w:ascii="Andalus" w:hAnsi="Andalus" w:cs="Andalus"/>
          <w:sz w:val="20"/>
          <w:szCs w:val="20"/>
          <w:lang w:eastAsia="it-IT"/>
        </w:rPr>
        <w:t>suddividono in cinque categorie:</w:t>
      </w:r>
    </w:p>
    <w:p w:rsidR="00C94484" w:rsidRPr="00DF5C5E" w:rsidRDefault="00A50F2E"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lastRenderedPageBreak/>
        <w:fldChar w:fldCharType="begin"/>
      </w:r>
      <w:r w:rsidR="002654F0" w:rsidRPr="00DF5C5E">
        <w:rPr>
          <w:rFonts w:ascii="Andalus" w:hAnsi="Andalus" w:cs="Andalus"/>
          <w:sz w:val="20"/>
          <w:szCs w:val="20"/>
          <w:lang w:eastAsia="it-IT"/>
        </w:rPr>
        <w:instrText xml:space="preserve"> LINK Excel.Sheet.8 "\\\\srvfs01\\Programmazione_Finanziaria_Bilancio\\AREA COMUNE RAGIONERIA\\ENTRATE RENDICONTO 2011\\TIT. II CONTRIBUTI E TRASF.TI CORRENTI - ANALISI STORICA.xls!Foglio2!R4C2:R10C10" "" \a \p </w:instrText>
      </w:r>
      <w:r w:rsidR="00DF5C5E">
        <w:rPr>
          <w:rFonts w:ascii="Andalus" w:hAnsi="Andalus" w:cs="Andalus"/>
          <w:sz w:val="20"/>
          <w:szCs w:val="20"/>
          <w:lang w:eastAsia="it-IT"/>
        </w:rPr>
        <w:instrText xml:space="preserve"> \* MERGEFORMAT </w:instrText>
      </w:r>
      <w:r w:rsidRPr="00DF5C5E">
        <w:rPr>
          <w:rFonts w:ascii="Andalus" w:hAnsi="Andalus" w:cs="Andalus"/>
          <w:sz w:val="20"/>
          <w:szCs w:val="20"/>
          <w:lang w:eastAsia="it-IT"/>
        </w:rPr>
        <w:fldChar w:fldCharType="separate"/>
      </w:r>
      <w:r w:rsidRPr="00A50F2E">
        <w:rPr>
          <w:rFonts w:ascii="Andalus" w:hAnsi="Andalus" w:cs="Andalus"/>
          <w:sz w:val="20"/>
          <w:szCs w:val="20"/>
          <w:lang w:eastAsia="it-IT"/>
        </w:rPr>
        <w:object w:dxaOrig="4320" w:dyaOrig="4320">
          <v:shape id="_x0000_i1043" type="#_x0000_t75" style="width:509.4pt;height:118.2pt" o:bordertopcolor="this">
            <v:imagedata r:id="rId26" o:title=""/>
            <w10:bordertop type="single" width="4"/>
          </v:shape>
        </w:object>
      </w:r>
      <w:r w:rsidRPr="00DF5C5E">
        <w:rPr>
          <w:rFonts w:ascii="Andalus" w:hAnsi="Andalus" w:cs="Andalus"/>
          <w:sz w:val="20"/>
          <w:szCs w:val="20"/>
          <w:lang w:eastAsia="it-IT"/>
        </w:rPr>
        <w:fldChar w:fldCharType="end"/>
      </w:r>
    </w:p>
    <w:p w:rsidR="00C94484" w:rsidRPr="00DF5C5E" w:rsidRDefault="00C94484" w:rsidP="00DF5C5E">
      <w:pPr>
        <w:spacing w:line="360" w:lineRule="auto"/>
        <w:rPr>
          <w:rFonts w:ascii="Andalus" w:hAnsi="Andalus" w:cs="Andalus"/>
          <w:sz w:val="20"/>
          <w:szCs w:val="20"/>
          <w:lang w:eastAsia="it-IT"/>
        </w:rPr>
      </w:pPr>
    </w:p>
    <w:tbl>
      <w:tblPr>
        <w:tblW w:w="9982" w:type="dxa"/>
        <w:tblInd w:w="65" w:type="dxa"/>
        <w:tblCellMar>
          <w:left w:w="70" w:type="dxa"/>
          <w:right w:w="70" w:type="dxa"/>
        </w:tblCellMar>
        <w:tblLook w:val="04A0"/>
      </w:tblPr>
      <w:tblGrid>
        <w:gridCol w:w="4311"/>
        <w:gridCol w:w="956"/>
        <w:gridCol w:w="956"/>
        <w:gridCol w:w="956"/>
        <w:gridCol w:w="956"/>
        <w:gridCol w:w="956"/>
        <w:gridCol w:w="1010"/>
      </w:tblGrid>
      <w:tr w:rsidR="00C94484" w:rsidRPr="00EE154C" w:rsidTr="00A171A0">
        <w:trPr>
          <w:trHeight w:val="630"/>
        </w:trPr>
        <w:tc>
          <w:tcPr>
            <w:tcW w:w="4311"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C94484" w:rsidRPr="00EE154C" w:rsidRDefault="00C94484" w:rsidP="00A171A0">
            <w:pPr>
              <w:suppressAutoHyphens w:val="0"/>
              <w:jc w:val="both"/>
              <w:rPr>
                <w:b/>
                <w:bCs/>
                <w:sz w:val="16"/>
                <w:szCs w:val="16"/>
                <w:lang w:eastAsia="it-IT"/>
              </w:rPr>
            </w:pPr>
            <w:r w:rsidRPr="00EE154C">
              <w:rPr>
                <w:b/>
                <w:bCs/>
                <w:sz w:val="16"/>
                <w:szCs w:val="16"/>
                <w:lang w:eastAsia="it-IT"/>
              </w:rPr>
              <w:t>ENTRATE TITOLO II - Entrate derivanti da contributi e trasferimenti correnti dello Stato, della Regione e di altri enti pubblici</w:t>
            </w:r>
          </w:p>
        </w:tc>
        <w:tc>
          <w:tcPr>
            <w:tcW w:w="5671" w:type="dxa"/>
            <w:gridSpan w:val="6"/>
            <w:tcBorders>
              <w:top w:val="single" w:sz="4" w:space="0" w:color="auto"/>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 </w:t>
            </w:r>
          </w:p>
        </w:tc>
      </w:tr>
      <w:tr w:rsidR="00C94484" w:rsidRPr="00EE154C" w:rsidTr="00A171A0">
        <w:trPr>
          <w:trHeight w:val="425"/>
        </w:trPr>
        <w:tc>
          <w:tcPr>
            <w:tcW w:w="4311" w:type="dxa"/>
            <w:vMerge/>
            <w:tcBorders>
              <w:top w:val="single" w:sz="4" w:space="0" w:color="auto"/>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b/>
                <w:bCs/>
                <w:sz w:val="16"/>
                <w:szCs w:val="16"/>
                <w:lang w:eastAsia="it-IT"/>
              </w:rPr>
            </w:pPr>
          </w:p>
        </w:tc>
        <w:tc>
          <w:tcPr>
            <w:tcW w:w="933"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2007</w:t>
            </w:r>
          </w:p>
        </w:tc>
        <w:tc>
          <w:tcPr>
            <w:tcW w:w="932"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2008</w:t>
            </w:r>
          </w:p>
        </w:tc>
        <w:tc>
          <w:tcPr>
            <w:tcW w:w="932"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2009</w:t>
            </w:r>
          </w:p>
        </w:tc>
        <w:tc>
          <w:tcPr>
            <w:tcW w:w="932"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2010</w:t>
            </w:r>
          </w:p>
        </w:tc>
        <w:tc>
          <w:tcPr>
            <w:tcW w:w="932"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2011</w:t>
            </w:r>
          </w:p>
        </w:tc>
        <w:tc>
          <w:tcPr>
            <w:tcW w:w="1010" w:type="dxa"/>
            <w:vMerge w:val="restart"/>
            <w:tcBorders>
              <w:top w:val="nil"/>
              <w:left w:val="single" w:sz="4" w:space="0" w:color="auto"/>
              <w:bottom w:val="single" w:sz="4" w:space="0" w:color="auto"/>
              <w:right w:val="single" w:sz="4" w:space="0" w:color="auto"/>
            </w:tcBorders>
            <w:shd w:val="clear" w:color="000000" w:fill="FFFFFF"/>
            <w:vAlign w:val="bottom"/>
            <w:hideMark/>
          </w:tcPr>
          <w:p w:rsidR="00C94484" w:rsidRPr="00EE154C" w:rsidRDefault="00C94484" w:rsidP="00A171A0">
            <w:pPr>
              <w:suppressAutoHyphens w:val="0"/>
              <w:jc w:val="center"/>
              <w:rPr>
                <w:rFonts w:ascii="Arial" w:hAnsi="Arial" w:cs="Arial"/>
                <w:b/>
                <w:bCs/>
                <w:sz w:val="14"/>
                <w:szCs w:val="14"/>
                <w:lang w:eastAsia="it-IT"/>
              </w:rPr>
            </w:pPr>
            <w:r w:rsidRPr="00EE154C">
              <w:rPr>
                <w:rFonts w:ascii="Arial" w:hAnsi="Arial" w:cs="Arial"/>
                <w:b/>
                <w:bCs/>
                <w:sz w:val="14"/>
                <w:szCs w:val="14"/>
                <w:lang w:eastAsia="it-IT"/>
              </w:rPr>
              <w:t xml:space="preserve">% </w:t>
            </w:r>
            <w:proofErr w:type="spellStart"/>
            <w:r w:rsidRPr="00EE154C">
              <w:rPr>
                <w:rFonts w:ascii="Arial" w:hAnsi="Arial" w:cs="Arial"/>
                <w:b/>
                <w:bCs/>
                <w:sz w:val="14"/>
                <w:szCs w:val="14"/>
                <w:lang w:eastAsia="it-IT"/>
              </w:rPr>
              <w:t>scostam</w:t>
            </w:r>
            <w:proofErr w:type="spellEnd"/>
            <w:r w:rsidRPr="00EE154C">
              <w:rPr>
                <w:rFonts w:ascii="Arial" w:hAnsi="Arial" w:cs="Arial"/>
                <w:b/>
                <w:bCs/>
                <w:sz w:val="14"/>
                <w:szCs w:val="14"/>
                <w:lang w:eastAsia="it-IT"/>
              </w:rPr>
              <w:t>. 2011-2010</w:t>
            </w:r>
          </w:p>
        </w:tc>
      </w:tr>
      <w:tr w:rsidR="00C94484" w:rsidRPr="00EE154C" w:rsidTr="00A171A0">
        <w:trPr>
          <w:trHeight w:val="425"/>
        </w:trPr>
        <w:tc>
          <w:tcPr>
            <w:tcW w:w="4311" w:type="dxa"/>
            <w:vMerge/>
            <w:tcBorders>
              <w:top w:val="single" w:sz="4" w:space="0" w:color="auto"/>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b/>
                <w:bCs/>
                <w:sz w:val="16"/>
                <w:szCs w:val="16"/>
                <w:lang w:eastAsia="it-IT"/>
              </w:rPr>
            </w:pPr>
          </w:p>
        </w:tc>
        <w:tc>
          <w:tcPr>
            <w:tcW w:w="933" w:type="dxa"/>
            <w:vMerge/>
            <w:tcBorders>
              <w:top w:val="nil"/>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rFonts w:ascii="Arial" w:hAnsi="Arial" w:cs="Arial"/>
                <w:b/>
                <w:bCs/>
                <w:sz w:val="16"/>
                <w:szCs w:val="16"/>
                <w:lang w:eastAsia="it-IT"/>
              </w:rPr>
            </w:pPr>
          </w:p>
        </w:tc>
        <w:tc>
          <w:tcPr>
            <w:tcW w:w="932" w:type="dxa"/>
            <w:vMerge/>
            <w:tcBorders>
              <w:top w:val="nil"/>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rFonts w:ascii="Arial" w:hAnsi="Arial" w:cs="Arial"/>
                <w:b/>
                <w:bCs/>
                <w:sz w:val="16"/>
                <w:szCs w:val="16"/>
                <w:lang w:eastAsia="it-IT"/>
              </w:rPr>
            </w:pPr>
          </w:p>
        </w:tc>
        <w:tc>
          <w:tcPr>
            <w:tcW w:w="932" w:type="dxa"/>
            <w:vMerge/>
            <w:tcBorders>
              <w:top w:val="nil"/>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rFonts w:ascii="Arial" w:hAnsi="Arial" w:cs="Arial"/>
                <w:b/>
                <w:bCs/>
                <w:sz w:val="16"/>
                <w:szCs w:val="16"/>
                <w:lang w:eastAsia="it-IT"/>
              </w:rPr>
            </w:pPr>
          </w:p>
        </w:tc>
        <w:tc>
          <w:tcPr>
            <w:tcW w:w="932" w:type="dxa"/>
            <w:vMerge/>
            <w:tcBorders>
              <w:top w:val="nil"/>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rFonts w:ascii="Arial" w:hAnsi="Arial" w:cs="Arial"/>
                <w:b/>
                <w:bCs/>
                <w:sz w:val="16"/>
                <w:szCs w:val="16"/>
                <w:lang w:eastAsia="it-IT"/>
              </w:rPr>
            </w:pPr>
          </w:p>
        </w:tc>
        <w:tc>
          <w:tcPr>
            <w:tcW w:w="932" w:type="dxa"/>
            <w:vMerge/>
            <w:tcBorders>
              <w:top w:val="nil"/>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rFonts w:ascii="Arial" w:hAnsi="Arial" w:cs="Arial"/>
                <w:b/>
                <w:bCs/>
                <w:sz w:val="16"/>
                <w:szCs w:val="16"/>
                <w:lang w:eastAsia="it-IT"/>
              </w:rPr>
            </w:pPr>
          </w:p>
        </w:tc>
        <w:tc>
          <w:tcPr>
            <w:tcW w:w="1010" w:type="dxa"/>
            <w:vMerge/>
            <w:tcBorders>
              <w:top w:val="nil"/>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rFonts w:ascii="Arial" w:hAnsi="Arial" w:cs="Arial"/>
                <w:b/>
                <w:bCs/>
                <w:sz w:val="14"/>
                <w:szCs w:val="14"/>
                <w:lang w:eastAsia="it-IT"/>
              </w:rPr>
            </w:pPr>
          </w:p>
        </w:tc>
      </w:tr>
      <w:tr w:rsidR="00C94484" w:rsidRPr="00EE154C" w:rsidTr="00A171A0">
        <w:trPr>
          <w:trHeight w:val="259"/>
        </w:trPr>
        <w:tc>
          <w:tcPr>
            <w:tcW w:w="4311" w:type="dxa"/>
            <w:vMerge/>
            <w:tcBorders>
              <w:top w:val="single" w:sz="4" w:space="0" w:color="auto"/>
              <w:left w:val="single" w:sz="4" w:space="0" w:color="auto"/>
              <w:bottom w:val="single" w:sz="4" w:space="0" w:color="auto"/>
              <w:right w:val="single" w:sz="4" w:space="0" w:color="auto"/>
            </w:tcBorders>
            <w:vAlign w:val="center"/>
            <w:hideMark/>
          </w:tcPr>
          <w:p w:rsidR="00C94484" w:rsidRPr="00EE154C" w:rsidRDefault="00C94484" w:rsidP="00A171A0">
            <w:pPr>
              <w:suppressAutoHyphens w:val="0"/>
              <w:rPr>
                <w:b/>
                <w:bCs/>
                <w:sz w:val="16"/>
                <w:szCs w:val="16"/>
                <w:lang w:eastAsia="it-IT"/>
              </w:rPr>
            </w:pPr>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4</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5</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6</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7</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8</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rFonts w:ascii="Arial" w:hAnsi="Arial" w:cs="Arial"/>
                <w:b/>
                <w:bCs/>
                <w:sz w:val="16"/>
                <w:szCs w:val="16"/>
                <w:lang w:eastAsia="it-IT"/>
              </w:rPr>
            </w:pPr>
            <w:r w:rsidRPr="00EE154C">
              <w:rPr>
                <w:rFonts w:ascii="Arial" w:hAnsi="Arial" w:cs="Arial"/>
                <w:b/>
                <w:bCs/>
                <w:sz w:val="16"/>
                <w:szCs w:val="16"/>
                <w:lang w:eastAsia="it-IT"/>
              </w:rPr>
              <w:t>9</w:t>
            </w:r>
          </w:p>
        </w:tc>
      </w:tr>
      <w:tr w:rsidR="00C94484" w:rsidRPr="00EE154C" w:rsidTr="00A171A0">
        <w:trPr>
          <w:trHeight w:val="599"/>
        </w:trPr>
        <w:tc>
          <w:tcPr>
            <w:tcW w:w="4311" w:type="dxa"/>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both"/>
              <w:rPr>
                <w:sz w:val="16"/>
                <w:szCs w:val="16"/>
                <w:lang w:eastAsia="it-IT"/>
              </w:rPr>
            </w:pPr>
            <w:r w:rsidRPr="00EE154C">
              <w:rPr>
                <w:sz w:val="16"/>
                <w:szCs w:val="16"/>
                <w:lang w:eastAsia="it-IT"/>
              </w:rPr>
              <w:t>CATEGORIA  I - Trasferimenti Statali</w:t>
            </w:r>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10.754.269,09</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10.125.120,45</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9.911.379,87</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9.841.870,74</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7.682.353,34</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 xml:space="preserve">-                21,94 </w:t>
            </w:r>
          </w:p>
        </w:tc>
      </w:tr>
      <w:tr w:rsidR="00C94484" w:rsidRPr="00EE154C" w:rsidTr="00A171A0">
        <w:trPr>
          <w:trHeight w:val="599"/>
        </w:trPr>
        <w:tc>
          <w:tcPr>
            <w:tcW w:w="4311" w:type="dxa"/>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both"/>
              <w:rPr>
                <w:sz w:val="16"/>
                <w:szCs w:val="16"/>
                <w:lang w:eastAsia="it-IT"/>
              </w:rPr>
            </w:pPr>
            <w:r w:rsidRPr="00EE154C">
              <w:rPr>
                <w:sz w:val="16"/>
                <w:szCs w:val="16"/>
                <w:lang w:eastAsia="it-IT"/>
              </w:rPr>
              <w:t>CATEGORIA  II - Trasferimenti Regionali correnti</w:t>
            </w:r>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1.612.993,73</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1.824.205,47</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1.483.937,59</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1.352.257,72</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782.862,42</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 xml:space="preserve">-                42,11 </w:t>
            </w:r>
          </w:p>
        </w:tc>
      </w:tr>
      <w:tr w:rsidR="00C94484" w:rsidRPr="00EE154C" w:rsidTr="00A171A0">
        <w:trPr>
          <w:trHeight w:val="734"/>
        </w:trPr>
        <w:tc>
          <w:tcPr>
            <w:tcW w:w="4311" w:type="dxa"/>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both"/>
              <w:rPr>
                <w:sz w:val="16"/>
                <w:szCs w:val="16"/>
                <w:lang w:eastAsia="it-IT"/>
              </w:rPr>
            </w:pPr>
            <w:r w:rsidRPr="00EE154C">
              <w:rPr>
                <w:sz w:val="16"/>
                <w:szCs w:val="16"/>
                <w:lang w:eastAsia="it-IT"/>
              </w:rPr>
              <w:t>CATEGORIA III - Trasferimenti  Regionali per Funzioni delegate</w:t>
            </w:r>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10.466.204,33</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14.633.675,40</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13.485.563,12</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13.118.549,93</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20.760.364,70</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 xml:space="preserve">                 58,25 </w:t>
            </w:r>
          </w:p>
        </w:tc>
      </w:tr>
      <w:tr w:rsidR="00C94484" w:rsidRPr="00EE154C" w:rsidTr="00A171A0">
        <w:trPr>
          <w:trHeight w:val="599"/>
        </w:trPr>
        <w:tc>
          <w:tcPr>
            <w:tcW w:w="4311" w:type="dxa"/>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both"/>
              <w:rPr>
                <w:sz w:val="16"/>
                <w:szCs w:val="16"/>
                <w:lang w:eastAsia="it-IT"/>
              </w:rPr>
            </w:pPr>
            <w:r w:rsidRPr="00EE154C">
              <w:rPr>
                <w:sz w:val="16"/>
                <w:szCs w:val="16"/>
                <w:lang w:eastAsia="it-IT"/>
              </w:rPr>
              <w:t xml:space="preserve">T O T A L E      </w:t>
            </w:r>
            <w:proofErr w:type="spellStart"/>
            <w:r w:rsidRPr="00EE154C">
              <w:rPr>
                <w:sz w:val="16"/>
                <w:szCs w:val="16"/>
                <w:lang w:eastAsia="it-IT"/>
              </w:rPr>
              <w:t>Trasf</w:t>
            </w:r>
            <w:proofErr w:type="spellEnd"/>
            <w:r w:rsidRPr="00EE154C">
              <w:rPr>
                <w:sz w:val="16"/>
                <w:szCs w:val="16"/>
                <w:lang w:eastAsia="it-IT"/>
              </w:rPr>
              <w:t xml:space="preserve">. </w:t>
            </w:r>
            <w:proofErr w:type="spellStart"/>
            <w:r w:rsidRPr="00EE154C">
              <w:rPr>
                <w:sz w:val="16"/>
                <w:szCs w:val="16"/>
                <w:lang w:eastAsia="it-IT"/>
              </w:rPr>
              <w:t>Reg.li</w:t>
            </w:r>
            <w:proofErr w:type="spellEnd"/>
            <w:r w:rsidRPr="00EE154C">
              <w:rPr>
                <w:sz w:val="16"/>
                <w:szCs w:val="16"/>
                <w:lang w:eastAsia="it-IT"/>
              </w:rPr>
              <w:t xml:space="preserve"> CTG. </w:t>
            </w:r>
            <w:proofErr w:type="spellStart"/>
            <w:r w:rsidRPr="00EE154C">
              <w:rPr>
                <w:sz w:val="16"/>
                <w:szCs w:val="16"/>
                <w:lang w:eastAsia="it-IT"/>
              </w:rPr>
              <w:t>II+III</w:t>
            </w:r>
            <w:proofErr w:type="spellEnd"/>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12.079.198,06</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16.457.880,87</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14.969.500,71</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14.470.807,65</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29.225.580,46</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 xml:space="preserve">               101,96 </w:t>
            </w:r>
          </w:p>
        </w:tc>
      </w:tr>
      <w:tr w:rsidR="00C94484" w:rsidRPr="00EE154C" w:rsidTr="00A171A0">
        <w:trPr>
          <w:trHeight w:val="689"/>
        </w:trPr>
        <w:tc>
          <w:tcPr>
            <w:tcW w:w="4311" w:type="dxa"/>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both"/>
              <w:rPr>
                <w:sz w:val="16"/>
                <w:szCs w:val="16"/>
                <w:lang w:eastAsia="it-IT"/>
              </w:rPr>
            </w:pPr>
            <w:r w:rsidRPr="00EE154C">
              <w:rPr>
                <w:sz w:val="16"/>
                <w:szCs w:val="16"/>
                <w:lang w:eastAsia="it-IT"/>
              </w:rPr>
              <w:t>CATEGORIA IV - Trasferimenti da organismi comunitari e internazionali</w:t>
            </w:r>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0</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0</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0</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0</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0</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 xml:space="preserve">                         -   </w:t>
            </w:r>
          </w:p>
        </w:tc>
      </w:tr>
      <w:tr w:rsidR="00C94484" w:rsidRPr="00EE154C" w:rsidTr="00A171A0">
        <w:trPr>
          <w:trHeight w:val="599"/>
        </w:trPr>
        <w:tc>
          <w:tcPr>
            <w:tcW w:w="4311" w:type="dxa"/>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both"/>
              <w:rPr>
                <w:sz w:val="16"/>
                <w:szCs w:val="16"/>
                <w:lang w:eastAsia="it-IT"/>
              </w:rPr>
            </w:pPr>
            <w:r w:rsidRPr="00EE154C">
              <w:rPr>
                <w:sz w:val="16"/>
                <w:szCs w:val="16"/>
                <w:lang w:eastAsia="it-IT"/>
              </w:rPr>
              <w:t>CATEGORIA V - Trasferimenti da altri Enti</w:t>
            </w:r>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0</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101.644,29</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144.000,00</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115.040,04</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38.067,23</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 xml:space="preserve">-                66,91 </w:t>
            </w:r>
          </w:p>
        </w:tc>
      </w:tr>
      <w:tr w:rsidR="00C94484" w:rsidRPr="00EE154C" w:rsidTr="00A171A0">
        <w:trPr>
          <w:trHeight w:val="599"/>
        </w:trPr>
        <w:tc>
          <w:tcPr>
            <w:tcW w:w="4311" w:type="dxa"/>
            <w:tcBorders>
              <w:top w:val="nil"/>
              <w:left w:val="single" w:sz="4" w:space="0" w:color="auto"/>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center"/>
              <w:rPr>
                <w:sz w:val="16"/>
                <w:szCs w:val="16"/>
                <w:lang w:eastAsia="it-IT"/>
              </w:rPr>
            </w:pPr>
            <w:r w:rsidRPr="00EE154C">
              <w:rPr>
                <w:sz w:val="16"/>
                <w:szCs w:val="16"/>
                <w:lang w:eastAsia="it-IT"/>
              </w:rPr>
              <w:t>T O T A L E</w:t>
            </w:r>
          </w:p>
        </w:tc>
        <w:tc>
          <w:tcPr>
            <w:tcW w:w="933"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22.833.467,15</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26.684.645,61</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25.024.880,58</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24.427.718,43</w:t>
            </w:r>
          </w:p>
        </w:tc>
        <w:tc>
          <w:tcPr>
            <w:tcW w:w="932"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29.263.647,69</w:t>
            </w:r>
          </w:p>
        </w:tc>
        <w:tc>
          <w:tcPr>
            <w:tcW w:w="1010" w:type="dxa"/>
            <w:tcBorders>
              <w:top w:val="nil"/>
              <w:left w:val="nil"/>
              <w:bottom w:val="single" w:sz="4" w:space="0" w:color="auto"/>
              <w:right w:val="single" w:sz="4" w:space="0" w:color="auto"/>
            </w:tcBorders>
            <w:shd w:val="clear" w:color="000000" w:fill="FFFFFF"/>
            <w:noWrap/>
            <w:vAlign w:val="bottom"/>
            <w:hideMark/>
          </w:tcPr>
          <w:p w:rsidR="00C94484" w:rsidRPr="00EE154C" w:rsidRDefault="00C94484" w:rsidP="00A171A0">
            <w:pPr>
              <w:suppressAutoHyphens w:val="0"/>
              <w:jc w:val="right"/>
              <w:rPr>
                <w:sz w:val="14"/>
                <w:szCs w:val="14"/>
                <w:lang w:eastAsia="it-IT"/>
              </w:rPr>
            </w:pPr>
            <w:r w:rsidRPr="00EE154C">
              <w:rPr>
                <w:sz w:val="14"/>
                <w:szCs w:val="14"/>
                <w:lang w:eastAsia="it-IT"/>
              </w:rPr>
              <w:t xml:space="preserve">                 19,80 </w:t>
            </w:r>
          </w:p>
        </w:tc>
      </w:tr>
    </w:tbl>
    <w:p w:rsidR="00C94484" w:rsidRDefault="00C94484" w:rsidP="00C94484">
      <w:pPr>
        <w:spacing w:line="360" w:lineRule="auto"/>
        <w:jc w:val="both"/>
      </w:pPr>
    </w:p>
    <w:p w:rsidR="00C94484" w:rsidRDefault="00C94484" w:rsidP="00C94484">
      <w:pPr>
        <w:spacing w:line="360" w:lineRule="auto"/>
        <w:jc w:val="both"/>
      </w:pPr>
    </w:p>
    <w:p w:rsidR="00C94484" w:rsidRDefault="00C94484" w:rsidP="00C94484">
      <w:pPr>
        <w:spacing w:line="360" w:lineRule="auto"/>
        <w:jc w:val="both"/>
      </w:pPr>
    </w:p>
    <w:p w:rsidR="00C94484" w:rsidRDefault="00593495" w:rsidP="00C94484">
      <w:pPr>
        <w:spacing w:line="360" w:lineRule="auto"/>
        <w:jc w:val="center"/>
      </w:pPr>
      <w:r>
        <w:rPr>
          <w:noProof/>
          <w:lang w:eastAsia="it-IT"/>
        </w:rPr>
        <w:lastRenderedPageBreak/>
        <w:drawing>
          <wp:inline distT="0" distB="0" distL="0" distR="0">
            <wp:extent cx="6385560" cy="2606040"/>
            <wp:effectExtent l="19050" t="0" r="0" b="0"/>
            <wp:docPr id="20" name="Grafic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co 2"/>
                    <pic:cNvPicPr>
                      <a:picLocks noChangeArrowheads="1"/>
                    </pic:cNvPicPr>
                  </pic:nvPicPr>
                  <pic:blipFill>
                    <a:blip r:embed="rId27" cstate="print"/>
                    <a:srcRect/>
                    <a:stretch>
                      <a:fillRect/>
                    </a:stretch>
                  </pic:blipFill>
                  <pic:spPr bwMode="auto">
                    <a:xfrm>
                      <a:off x="0" y="0"/>
                      <a:ext cx="6385560" cy="2606040"/>
                    </a:xfrm>
                    <a:prstGeom prst="rect">
                      <a:avLst/>
                    </a:prstGeom>
                    <a:noFill/>
                    <a:ln w="9525">
                      <a:noFill/>
                      <a:miter lim="800000"/>
                      <a:headEnd/>
                      <a:tailEnd/>
                    </a:ln>
                  </pic:spPr>
                </pic:pic>
              </a:graphicData>
            </a:graphic>
          </wp:inline>
        </w:drawing>
      </w:r>
    </w:p>
    <w:p w:rsidR="00C94484" w:rsidRPr="00DF5C5E" w:rsidRDefault="00C94484" w:rsidP="00C94484">
      <w:pPr>
        <w:spacing w:line="360" w:lineRule="auto"/>
        <w:jc w:val="center"/>
        <w:rPr>
          <w:rFonts w:ascii="Andalus" w:hAnsi="Andalus" w:cs="Andalus"/>
          <w:sz w:val="20"/>
          <w:szCs w:val="20"/>
          <w:lang w:eastAsia="it-IT"/>
        </w:rPr>
      </w:pPr>
      <w:bookmarkStart w:id="0" w:name="_Hlk227488799"/>
      <w:bookmarkStart w:id="1" w:name="OLE_LINK20"/>
      <w:bookmarkStart w:id="2" w:name="OLE_LINK19"/>
      <w:bookmarkStart w:id="3" w:name="OLE_LINK1"/>
      <w:bookmarkStart w:id="4" w:name="_Hlk226798052"/>
      <w:bookmarkStart w:id="5" w:name="OLE_LINK14"/>
      <w:bookmarkStart w:id="6" w:name="OLE_LINK13"/>
      <w:bookmarkStart w:id="7" w:name="_Hlk226796530"/>
      <w:bookmarkStart w:id="8" w:name="OLE_LINK7"/>
      <w:bookmarkStart w:id="9" w:name="OLE_LINK6"/>
      <w:bookmarkEnd w:id="0"/>
      <w:bookmarkEnd w:id="1"/>
      <w:bookmarkEnd w:id="2"/>
      <w:bookmarkEnd w:id="3"/>
      <w:bookmarkEnd w:id="4"/>
      <w:bookmarkEnd w:id="5"/>
      <w:bookmarkEnd w:id="6"/>
      <w:bookmarkEnd w:id="7"/>
      <w:bookmarkEnd w:id="8"/>
      <w:bookmarkEnd w:id="9"/>
      <w:r w:rsidRPr="00DF5C5E">
        <w:rPr>
          <w:rFonts w:ascii="Andalus" w:hAnsi="Andalus" w:cs="Andalus"/>
          <w:sz w:val="20"/>
          <w:szCs w:val="20"/>
          <w:lang w:eastAsia="it-IT"/>
        </w:rPr>
        <w:t>CATEGORIA 2.01 – CONTRIBUTI E TRASFERIMENTI CORRENTI DELLO STATO</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Nella logica del legislatore, i trasferimenti statali sono ripartiti in base a criteri obiettivi che tengano conto della popolazione, del territorio e delle condizioni socio economiche, nonché in base ad una perequata distribuzione delle risorse che tenga conto degli squilibri della fiscalità locale.</w:t>
      </w:r>
    </w:p>
    <w:p w:rsidR="00C94484" w:rsidRPr="00DF5C5E" w:rsidRDefault="00C94484" w:rsidP="00C94484">
      <w:pPr>
        <w:pStyle w:val="Rientrocorpodeltesto21"/>
        <w:spacing w:line="360" w:lineRule="auto"/>
        <w:ind w:left="0"/>
        <w:jc w:val="both"/>
        <w:rPr>
          <w:rFonts w:ascii="Andalus" w:eastAsia="Calibri" w:hAnsi="Andalus" w:cs="Andalus"/>
          <w:lang w:eastAsia="it-IT"/>
        </w:rPr>
      </w:pPr>
      <w:r w:rsidRPr="00DF5C5E">
        <w:rPr>
          <w:rFonts w:ascii="Andalus" w:eastAsia="Calibri" w:hAnsi="Andalus" w:cs="Andalus"/>
          <w:lang w:eastAsia="it-IT"/>
        </w:rPr>
        <w:t>Il Ministero dell'interno ha contribuito al finanziamento del bilancio con l’assegnazione dei seguenti fondi: ordinario, consolidato, perequativo degli squilibri della fiscalità locale, con il contributo per gli interventi delle province (ex sviluppo investimenti), con altri contributi generali e con le funzioni trasferite dal Decreto legislativo 112/98.</w:t>
      </w:r>
    </w:p>
    <w:p w:rsidR="00C94484" w:rsidRPr="00DF5C5E" w:rsidRDefault="00C94484" w:rsidP="00C94484">
      <w:pPr>
        <w:rPr>
          <w:rFonts w:ascii="Andalus" w:hAnsi="Andalus" w:cs="Andalus"/>
          <w:sz w:val="20"/>
          <w:szCs w:val="20"/>
          <w:lang w:eastAsia="it-IT"/>
        </w:rPr>
      </w:pPr>
    </w:p>
    <w:p w:rsidR="00C94484" w:rsidRPr="00182A49" w:rsidRDefault="00593495" w:rsidP="00C94484">
      <w:r>
        <w:rPr>
          <w:noProof/>
          <w:lang w:eastAsia="it-IT"/>
        </w:rPr>
        <w:drawing>
          <wp:inline distT="0" distB="0" distL="0" distR="0">
            <wp:extent cx="6111240" cy="2583180"/>
            <wp:effectExtent l="19050" t="0" r="3810" b="0"/>
            <wp:docPr id="21" name="Grafico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co 3"/>
                    <pic:cNvPicPr>
                      <a:picLocks noChangeArrowheads="1"/>
                    </pic:cNvPicPr>
                  </pic:nvPicPr>
                  <pic:blipFill>
                    <a:blip r:embed="rId28" cstate="print"/>
                    <a:srcRect/>
                    <a:stretch>
                      <a:fillRect/>
                    </a:stretch>
                  </pic:blipFill>
                  <pic:spPr bwMode="auto">
                    <a:xfrm>
                      <a:off x="0" y="0"/>
                      <a:ext cx="6111240" cy="2583180"/>
                    </a:xfrm>
                    <a:prstGeom prst="rect">
                      <a:avLst/>
                    </a:prstGeom>
                    <a:noFill/>
                    <a:ln w="9525">
                      <a:noFill/>
                      <a:miter lim="800000"/>
                      <a:headEnd/>
                      <a:tailEnd/>
                    </a:ln>
                  </pic:spPr>
                </pic:pic>
              </a:graphicData>
            </a:graphic>
          </wp:inline>
        </w:drawing>
      </w:r>
    </w:p>
    <w:p w:rsidR="00C94484" w:rsidRDefault="00C94484" w:rsidP="00C94484"/>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Il grafico relativo agli esercizi dal 2007 al 2011 evidenzia l’andamento dei trasferimenti statali che hanno concorso al finanziamento della gestione corrente dell’ente.</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lastRenderedPageBreak/>
        <w:t>Questi dall'anno 2007 hanno avuto una costante diminuzione fino all'anno 2011 nel quale si è avuto un sostanziale taglio dei trasferimenti per gli effetti dell'art. 14 del decreto legge 31 maggio 2010, n. 78, convertito in legge 30 luglio 2010, n. 122 che ha ridotto i trasferimenti erariali dovuti dal Ministero dell'Interno alle province di 300 milioni di euro per l'anno 2011.</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Nell'anno 2011 i trasferimenti statali hanno rappresentano il 13,75 % del totale delle entrate accertate, manifestando un calo rispetto al 2010 del 21,94%.</w:t>
      </w:r>
    </w:p>
    <w:p w:rsidR="00C94484" w:rsidRPr="00DF5C5E" w:rsidRDefault="00C94484" w:rsidP="00DF5C5E">
      <w:pPr>
        <w:spacing w:line="360" w:lineRule="auto"/>
        <w:rPr>
          <w:rFonts w:ascii="Andalus" w:hAnsi="Andalus" w:cs="Andalus"/>
          <w:sz w:val="20"/>
          <w:szCs w:val="20"/>
          <w:lang w:eastAsia="it-IT"/>
        </w:rPr>
      </w:pP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Specificamente i fondi assegnati dal Ministero degli Interni per l’anno 2011 risultano i seguenti:</w:t>
      </w:r>
    </w:p>
    <w:tbl>
      <w:tblPr>
        <w:tblW w:w="0" w:type="auto"/>
        <w:tblLayout w:type="fixed"/>
        <w:tblLook w:val="0000"/>
      </w:tblPr>
      <w:tblGrid>
        <w:gridCol w:w="6062"/>
        <w:gridCol w:w="239"/>
        <w:gridCol w:w="1887"/>
      </w:tblGrid>
      <w:tr w:rsidR="00C94484" w:rsidTr="00A171A0">
        <w:tc>
          <w:tcPr>
            <w:tcW w:w="6062" w:type="dxa"/>
            <w:shd w:val="clear" w:color="auto" w:fill="auto"/>
          </w:tcPr>
          <w:p w:rsidR="00C94484" w:rsidRDefault="00C94484" w:rsidP="00A171A0">
            <w:pPr>
              <w:pStyle w:val="Rientrocorpodeltesto21"/>
              <w:snapToGrid w:val="0"/>
              <w:spacing w:line="240" w:lineRule="auto"/>
              <w:ind w:left="0"/>
              <w:rPr>
                <w:rFonts w:ascii="Calibri" w:hAnsi="Calibri" w:cs="Arial"/>
                <w:sz w:val="24"/>
                <w:szCs w:val="24"/>
              </w:rPr>
            </w:pPr>
          </w:p>
        </w:tc>
        <w:tc>
          <w:tcPr>
            <w:tcW w:w="239" w:type="dxa"/>
            <w:shd w:val="clear" w:color="auto" w:fill="auto"/>
          </w:tcPr>
          <w:p w:rsidR="00C94484" w:rsidRDefault="00C94484" w:rsidP="00A171A0">
            <w:pPr>
              <w:pStyle w:val="Rientrocorpodeltesto21"/>
              <w:snapToGrid w:val="0"/>
              <w:spacing w:line="240" w:lineRule="auto"/>
              <w:ind w:left="0"/>
              <w:rPr>
                <w:rFonts w:ascii="Calibri" w:hAnsi="Calibri" w:cs="Arial"/>
                <w:sz w:val="24"/>
                <w:szCs w:val="24"/>
              </w:rPr>
            </w:pPr>
            <w:r>
              <w:rPr>
                <w:rFonts w:ascii="Calibri" w:hAnsi="Calibri" w:cs="Arial"/>
                <w:sz w:val="24"/>
                <w:szCs w:val="24"/>
              </w:rPr>
              <w:t>€</w:t>
            </w:r>
          </w:p>
        </w:tc>
        <w:tc>
          <w:tcPr>
            <w:tcW w:w="1887" w:type="dxa"/>
            <w:shd w:val="clear" w:color="auto" w:fill="auto"/>
          </w:tcPr>
          <w:p w:rsidR="00C94484" w:rsidRPr="002F032A" w:rsidRDefault="00C94484" w:rsidP="00A171A0">
            <w:pPr>
              <w:pStyle w:val="Rientrocorpodeltesto21"/>
              <w:snapToGrid w:val="0"/>
              <w:spacing w:line="240" w:lineRule="auto"/>
              <w:ind w:left="0"/>
              <w:jc w:val="right"/>
              <w:rPr>
                <w:rFonts w:ascii="Calibri" w:hAnsi="Calibri" w:cs="Arial"/>
              </w:rPr>
            </w:pPr>
            <w:r w:rsidRPr="002F032A">
              <w:rPr>
                <w:rFonts w:ascii="Calibri" w:hAnsi="Calibri" w:cs="Arial"/>
              </w:rPr>
              <w:t>4.089.100,37</w:t>
            </w:r>
          </w:p>
        </w:tc>
      </w:tr>
      <w:tr w:rsidR="00C94484" w:rsidRPr="00DF5C5E" w:rsidTr="00A171A0">
        <w:tc>
          <w:tcPr>
            <w:tcW w:w="6062" w:type="dxa"/>
            <w:shd w:val="clear" w:color="auto" w:fill="auto"/>
          </w:tcPr>
          <w:p w:rsidR="00C94484" w:rsidRPr="00DF5C5E" w:rsidRDefault="00C94484" w:rsidP="00A171A0">
            <w:pPr>
              <w:pStyle w:val="Rientrocorpodeltesto21"/>
              <w:snapToGrid w:val="0"/>
              <w:spacing w:line="240" w:lineRule="auto"/>
              <w:ind w:left="0"/>
              <w:rPr>
                <w:rFonts w:ascii="Calibri" w:hAnsi="Calibri" w:cs="Arial"/>
              </w:rPr>
            </w:pPr>
            <w:r w:rsidRPr="00DF5C5E">
              <w:rPr>
                <w:rFonts w:ascii="Calibri" w:hAnsi="Calibri" w:cs="Arial"/>
              </w:rPr>
              <w:t xml:space="preserve">CONTRIBUTO CONSOLIDATO                                                 </w:t>
            </w:r>
          </w:p>
        </w:tc>
        <w:tc>
          <w:tcPr>
            <w:tcW w:w="239" w:type="dxa"/>
            <w:shd w:val="clear" w:color="auto" w:fill="auto"/>
          </w:tcPr>
          <w:p w:rsidR="00C94484" w:rsidRPr="00DF5C5E" w:rsidRDefault="00C94484" w:rsidP="00A171A0">
            <w:pPr>
              <w:pStyle w:val="Rientrocorpodeltesto21"/>
              <w:snapToGrid w:val="0"/>
              <w:spacing w:line="240" w:lineRule="auto"/>
              <w:ind w:left="0"/>
              <w:rPr>
                <w:rFonts w:ascii="Calibri" w:hAnsi="Calibri" w:cs="Arial"/>
              </w:rPr>
            </w:pPr>
            <w:r w:rsidRPr="00DF5C5E">
              <w:rPr>
                <w:rFonts w:ascii="Calibri" w:hAnsi="Calibri" w:cs="Arial"/>
              </w:rPr>
              <w:t>€</w:t>
            </w:r>
          </w:p>
        </w:tc>
        <w:tc>
          <w:tcPr>
            <w:tcW w:w="1887" w:type="dxa"/>
            <w:shd w:val="clear" w:color="auto" w:fill="auto"/>
          </w:tcPr>
          <w:p w:rsidR="00C94484" w:rsidRPr="002F032A" w:rsidRDefault="00C94484" w:rsidP="00A171A0">
            <w:pPr>
              <w:pStyle w:val="Rientrocorpodeltesto21"/>
              <w:snapToGrid w:val="0"/>
              <w:spacing w:line="240" w:lineRule="auto"/>
              <w:ind w:left="0"/>
              <w:jc w:val="right"/>
              <w:rPr>
                <w:rFonts w:ascii="Calibri" w:hAnsi="Calibri" w:cs="Arial"/>
              </w:rPr>
            </w:pPr>
            <w:r w:rsidRPr="002F032A">
              <w:rPr>
                <w:rFonts w:ascii="Calibri" w:hAnsi="Calibri" w:cs="Arial"/>
              </w:rPr>
              <w:t>976.699,42</w:t>
            </w:r>
          </w:p>
        </w:tc>
      </w:tr>
      <w:tr w:rsidR="00C94484" w:rsidRPr="00DF5C5E" w:rsidTr="00A171A0">
        <w:tc>
          <w:tcPr>
            <w:tcW w:w="6062" w:type="dxa"/>
            <w:shd w:val="clear" w:color="auto" w:fill="auto"/>
          </w:tcPr>
          <w:p w:rsidR="00C94484" w:rsidRPr="00DF5C5E" w:rsidRDefault="00C94484" w:rsidP="00A171A0">
            <w:pPr>
              <w:pStyle w:val="Rientrocorpodeltesto21"/>
              <w:snapToGrid w:val="0"/>
              <w:spacing w:line="240" w:lineRule="auto"/>
              <w:ind w:left="0"/>
              <w:rPr>
                <w:rFonts w:ascii="Calibri" w:hAnsi="Calibri" w:cs="Arial"/>
              </w:rPr>
            </w:pPr>
            <w:r w:rsidRPr="00DF5C5E">
              <w:rPr>
                <w:rFonts w:ascii="Calibri" w:hAnsi="Calibri" w:cs="Arial"/>
              </w:rPr>
              <w:t>CONTRIBUTO PEREQUATIVO FISCALITA’ LOCALE</w:t>
            </w:r>
          </w:p>
        </w:tc>
        <w:tc>
          <w:tcPr>
            <w:tcW w:w="239" w:type="dxa"/>
            <w:shd w:val="clear" w:color="auto" w:fill="auto"/>
          </w:tcPr>
          <w:p w:rsidR="00C94484" w:rsidRPr="00DF5C5E" w:rsidRDefault="00C94484" w:rsidP="00A171A0">
            <w:pPr>
              <w:pStyle w:val="Rientrocorpodeltesto21"/>
              <w:snapToGrid w:val="0"/>
              <w:spacing w:line="240" w:lineRule="auto"/>
              <w:ind w:left="0"/>
              <w:rPr>
                <w:rFonts w:ascii="Calibri" w:hAnsi="Calibri" w:cs="Arial"/>
              </w:rPr>
            </w:pPr>
            <w:r w:rsidRPr="00DF5C5E">
              <w:rPr>
                <w:rFonts w:ascii="Calibri" w:hAnsi="Calibri" w:cs="Arial"/>
              </w:rPr>
              <w:t>€</w:t>
            </w:r>
          </w:p>
        </w:tc>
        <w:tc>
          <w:tcPr>
            <w:tcW w:w="1887" w:type="dxa"/>
            <w:shd w:val="clear" w:color="auto" w:fill="auto"/>
          </w:tcPr>
          <w:p w:rsidR="00C94484" w:rsidRPr="002F032A" w:rsidRDefault="00C94484" w:rsidP="00A171A0">
            <w:pPr>
              <w:pStyle w:val="Rientrocorpodeltesto21"/>
              <w:snapToGrid w:val="0"/>
              <w:spacing w:line="240" w:lineRule="auto"/>
              <w:ind w:left="0"/>
              <w:jc w:val="right"/>
              <w:rPr>
                <w:rFonts w:ascii="Calibri" w:hAnsi="Calibri" w:cs="Arial"/>
              </w:rPr>
            </w:pPr>
            <w:r w:rsidRPr="002F032A">
              <w:rPr>
                <w:rFonts w:ascii="Calibri" w:hAnsi="Calibri" w:cs="Arial"/>
              </w:rPr>
              <w:t>1.047.190,53</w:t>
            </w:r>
          </w:p>
        </w:tc>
      </w:tr>
      <w:tr w:rsidR="00DF5C5E" w:rsidRPr="00DF5C5E" w:rsidTr="00A171A0">
        <w:tc>
          <w:tcPr>
            <w:tcW w:w="6062" w:type="dxa"/>
            <w:shd w:val="clear" w:color="auto" w:fill="auto"/>
          </w:tcPr>
          <w:p w:rsidR="00DF5C5E" w:rsidRPr="00DF5C5E" w:rsidRDefault="00DF5C5E" w:rsidP="00D63EAB">
            <w:pPr>
              <w:pStyle w:val="Rientrocorpodeltesto21"/>
              <w:snapToGrid w:val="0"/>
              <w:spacing w:line="240" w:lineRule="auto"/>
              <w:ind w:left="0"/>
              <w:rPr>
                <w:rFonts w:ascii="Calibri" w:hAnsi="Calibri" w:cs="Arial"/>
              </w:rPr>
            </w:pPr>
            <w:r w:rsidRPr="00DF5C5E">
              <w:rPr>
                <w:rFonts w:ascii="Calibri" w:hAnsi="Calibri" w:cs="Arial"/>
              </w:rPr>
              <w:t>CONTRIBUTO ORDINARIO</w:t>
            </w:r>
          </w:p>
        </w:tc>
        <w:tc>
          <w:tcPr>
            <w:tcW w:w="239"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w:t>
            </w:r>
          </w:p>
        </w:tc>
        <w:tc>
          <w:tcPr>
            <w:tcW w:w="1887" w:type="dxa"/>
            <w:shd w:val="clear" w:color="auto" w:fill="auto"/>
          </w:tcPr>
          <w:p w:rsidR="00DF5C5E" w:rsidRPr="002F032A" w:rsidRDefault="00DF5C5E" w:rsidP="00A171A0">
            <w:pPr>
              <w:pStyle w:val="Rientrocorpodeltesto21"/>
              <w:snapToGrid w:val="0"/>
              <w:spacing w:line="240" w:lineRule="auto"/>
              <w:ind w:left="0"/>
              <w:jc w:val="right"/>
              <w:rPr>
                <w:rFonts w:ascii="Calibri" w:hAnsi="Calibri" w:cs="Arial"/>
              </w:rPr>
            </w:pPr>
            <w:r w:rsidRPr="002F032A">
              <w:rPr>
                <w:rFonts w:ascii="Calibri" w:hAnsi="Calibri" w:cs="Arial"/>
              </w:rPr>
              <w:t>183.184,88</w:t>
            </w:r>
          </w:p>
        </w:tc>
      </w:tr>
      <w:tr w:rsidR="00DF5C5E" w:rsidRPr="00DF5C5E" w:rsidTr="00A171A0">
        <w:tc>
          <w:tcPr>
            <w:tcW w:w="6062"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 xml:space="preserve">FUNZIONI TRASFERITE D. </w:t>
            </w:r>
            <w:proofErr w:type="spellStart"/>
            <w:r w:rsidRPr="00DF5C5E">
              <w:rPr>
                <w:rFonts w:ascii="Calibri" w:hAnsi="Calibri" w:cs="Arial"/>
              </w:rPr>
              <w:t>L.GS</w:t>
            </w:r>
            <w:proofErr w:type="spellEnd"/>
            <w:r w:rsidRPr="00DF5C5E">
              <w:rPr>
                <w:rFonts w:ascii="Calibri" w:hAnsi="Calibri" w:cs="Arial"/>
              </w:rPr>
              <w:t xml:space="preserve"> 112/1998</w:t>
            </w:r>
          </w:p>
        </w:tc>
        <w:tc>
          <w:tcPr>
            <w:tcW w:w="239"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w:t>
            </w:r>
          </w:p>
        </w:tc>
        <w:tc>
          <w:tcPr>
            <w:tcW w:w="1887" w:type="dxa"/>
            <w:shd w:val="clear" w:color="auto" w:fill="auto"/>
          </w:tcPr>
          <w:p w:rsidR="00DF5C5E" w:rsidRPr="002F032A" w:rsidRDefault="00DF5C5E" w:rsidP="00A171A0">
            <w:pPr>
              <w:pStyle w:val="Rientrocorpodeltesto21"/>
              <w:snapToGrid w:val="0"/>
              <w:spacing w:line="240" w:lineRule="auto"/>
              <w:ind w:left="0"/>
              <w:jc w:val="right"/>
              <w:rPr>
                <w:rFonts w:ascii="Calibri" w:hAnsi="Calibri" w:cs="Arial"/>
              </w:rPr>
            </w:pPr>
            <w:r w:rsidRPr="002F032A">
              <w:rPr>
                <w:rFonts w:ascii="Calibri" w:hAnsi="Calibri" w:cs="Arial"/>
              </w:rPr>
              <w:t>1.030.648,14</w:t>
            </w:r>
          </w:p>
        </w:tc>
      </w:tr>
      <w:tr w:rsidR="00DF5C5E" w:rsidRPr="00DF5C5E" w:rsidTr="00A171A0">
        <w:tc>
          <w:tcPr>
            <w:tcW w:w="6062"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CONTRIBUTO PER SVILUPPO INVESTIMENTI</w:t>
            </w:r>
          </w:p>
        </w:tc>
        <w:tc>
          <w:tcPr>
            <w:tcW w:w="239"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w:t>
            </w:r>
          </w:p>
        </w:tc>
        <w:tc>
          <w:tcPr>
            <w:tcW w:w="1887" w:type="dxa"/>
            <w:shd w:val="clear" w:color="auto" w:fill="auto"/>
          </w:tcPr>
          <w:p w:rsidR="00DF5C5E" w:rsidRPr="002F032A" w:rsidRDefault="00DF5C5E" w:rsidP="00A171A0">
            <w:pPr>
              <w:pStyle w:val="Rientrocorpodeltesto21"/>
              <w:snapToGrid w:val="0"/>
              <w:spacing w:line="240" w:lineRule="auto"/>
              <w:ind w:left="0"/>
              <w:jc w:val="right"/>
              <w:rPr>
                <w:rFonts w:ascii="Calibri" w:hAnsi="Calibri" w:cs="Arial"/>
              </w:rPr>
            </w:pPr>
            <w:r w:rsidRPr="002F032A">
              <w:rPr>
                <w:rFonts w:ascii="Calibri" w:hAnsi="Calibri" w:cs="Arial"/>
              </w:rPr>
              <w:t>305.531,81</w:t>
            </w:r>
          </w:p>
        </w:tc>
      </w:tr>
      <w:tr w:rsidR="00DF5C5E" w:rsidRPr="00DF5C5E" w:rsidTr="00A171A0">
        <w:tc>
          <w:tcPr>
            <w:tcW w:w="6062"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p>
        </w:tc>
        <w:tc>
          <w:tcPr>
            <w:tcW w:w="239"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p>
        </w:tc>
        <w:tc>
          <w:tcPr>
            <w:tcW w:w="1887" w:type="dxa"/>
            <w:shd w:val="clear" w:color="auto" w:fill="auto"/>
          </w:tcPr>
          <w:p w:rsidR="00DF5C5E" w:rsidRPr="002F032A" w:rsidRDefault="00DF5C5E" w:rsidP="00A171A0">
            <w:pPr>
              <w:pStyle w:val="Rientrocorpodeltesto21"/>
              <w:snapToGrid w:val="0"/>
              <w:spacing w:line="240" w:lineRule="auto"/>
              <w:ind w:left="0"/>
              <w:jc w:val="right"/>
              <w:rPr>
                <w:rFonts w:ascii="Calibri" w:hAnsi="Calibri" w:cs="Arial"/>
              </w:rPr>
            </w:pPr>
          </w:p>
        </w:tc>
      </w:tr>
      <w:tr w:rsidR="00DF5C5E" w:rsidRPr="00DF5C5E" w:rsidTr="00A171A0">
        <w:tc>
          <w:tcPr>
            <w:tcW w:w="6062" w:type="dxa"/>
            <w:shd w:val="clear" w:color="auto" w:fill="auto"/>
          </w:tcPr>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TRASFERIM. MINISTERO DELL'INTERNO</w:t>
            </w:r>
          </w:p>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 xml:space="preserve">CONTRIBUTO A CARICO DELLA RISERVA FONDO LIRE UNRRA ANNO 2011  </w:t>
            </w:r>
          </w:p>
          <w:p w:rsidR="00DF5C5E" w:rsidRPr="00DF5C5E" w:rsidRDefault="00DF5C5E" w:rsidP="00A171A0">
            <w:pPr>
              <w:pStyle w:val="Rientrocorpodeltesto21"/>
              <w:snapToGrid w:val="0"/>
              <w:spacing w:line="240" w:lineRule="auto"/>
              <w:ind w:left="0"/>
              <w:rPr>
                <w:rFonts w:ascii="Calibri" w:hAnsi="Calibri" w:cs="Arial"/>
              </w:rPr>
            </w:pPr>
            <w:r w:rsidRPr="00DF5C5E">
              <w:rPr>
                <w:rFonts w:ascii="Calibri" w:hAnsi="Calibri" w:cs="Arial"/>
              </w:rPr>
              <w:t xml:space="preserve">                                                                 </w:t>
            </w:r>
          </w:p>
        </w:tc>
        <w:tc>
          <w:tcPr>
            <w:tcW w:w="239" w:type="dxa"/>
            <w:shd w:val="clear" w:color="auto" w:fill="auto"/>
          </w:tcPr>
          <w:p w:rsidR="00DF5C5E" w:rsidRPr="00DF5C5E" w:rsidRDefault="00DF5C5E" w:rsidP="00A171A0">
            <w:pPr>
              <w:pStyle w:val="Rientrocorpodeltesto21"/>
              <w:snapToGrid w:val="0"/>
              <w:spacing w:line="240" w:lineRule="auto"/>
              <w:ind w:left="0"/>
              <w:rPr>
                <w:rFonts w:ascii="Calibri" w:hAnsi="Calibri" w:cs="Calibri"/>
              </w:rPr>
            </w:pPr>
          </w:p>
          <w:p w:rsidR="00DF5C5E" w:rsidRPr="00DF5C5E" w:rsidRDefault="00DF5C5E" w:rsidP="00A171A0">
            <w:pPr>
              <w:rPr>
                <w:sz w:val="20"/>
                <w:szCs w:val="20"/>
              </w:rPr>
            </w:pPr>
            <w:r w:rsidRPr="00DF5C5E">
              <w:rPr>
                <w:sz w:val="20"/>
                <w:szCs w:val="20"/>
              </w:rPr>
              <w:t>€</w:t>
            </w:r>
          </w:p>
        </w:tc>
        <w:tc>
          <w:tcPr>
            <w:tcW w:w="1887" w:type="dxa"/>
            <w:shd w:val="clear" w:color="auto" w:fill="auto"/>
          </w:tcPr>
          <w:p w:rsidR="00DF5C5E" w:rsidRPr="002F032A" w:rsidRDefault="00DF5C5E" w:rsidP="00A171A0">
            <w:pPr>
              <w:pStyle w:val="Rientrocorpodeltesto21"/>
              <w:snapToGrid w:val="0"/>
              <w:spacing w:line="240" w:lineRule="auto"/>
              <w:ind w:left="0"/>
              <w:jc w:val="right"/>
              <w:rPr>
                <w:rFonts w:ascii="Calibri" w:hAnsi="Calibri" w:cs="Arial"/>
              </w:rPr>
            </w:pPr>
          </w:p>
          <w:p w:rsidR="00DF5C5E" w:rsidRPr="002F032A" w:rsidRDefault="00DF5C5E" w:rsidP="00A171A0">
            <w:pPr>
              <w:jc w:val="center"/>
              <w:rPr>
                <w:sz w:val="20"/>
                <w:szCs w:val="20"/>
              </w:rPr>
            </w:pPr>
            <w:r w:rsidRPr="002F032A">
              <w:rPr>
                <w:sz w:val="20"/>
                <w:szCs w:val="20"/>
              </w:rPr>
              <w:t xml:space="preserve">          </w:t>
            </w:r>
            <w:r w:rsidR="002F032A">
              <w:rPr>
                <w:sz w:val="20"/>
                <w:szCs w:val="20"/>
              </w:rPr>
              <w:t xml:space="preserve">     </w:t>
            </w:r>
            <w:r w:rsidRPr="002F032A">
              <w:rPr>
                <w:sz w:val="20"/>
                <w:szCs w:val="20"/>
              </w:rPr>
              <w:t xml:space="preserve">  49.998,19</w:t>
            </w:r>
          </w:p>
        </w:tc>
      </w:tr>
    </w:tbl>
    <w:p w:rsidR="00C94484" w:rsidRPr="00DF5C5E" w:rsidRDefault="00C94484" w:rsidP="00C94484">
      <w:pPr>
        <w:pStyle w:val="Rientrocorpodeltesto21"/>
        <w:spacing w:line="360" w:lineRule="auto"/>
        <w:ind w:left="0"/>
      </w:pPr>
    </w:p>
    <w:p w:rsidR="00C94484" w:rsidRDefault="00C94484" w:rsidP="00C94484">
      <w:pPr>
        <w:pStyle w:val="Rientrocorpodeltesto21"/>
        <w:spacing w:line="360" w:lineRule="auto"/>
        <w:ind w:left="0"/>
      </w:pPr>
    </w:p>
    <w:p w:rsidR="00C94484" w:rsidRDefault="00C94484" w:rsidP="00C94484">
      <w:pPr>
        <w:pStyle w:val="Rientrocorpodeltesto21"/>
        <w:spacing w:line="360" w:lineRule="auto"/>
        <w:ind w:left="0"/>
      </w:pPr>
    </w:p>
    <w:p w:rsidR="00C94484" w:rsidRPr="00DF5C5E" w:rsidRDefault="00C94484" w:rsidP="002F032A">
      <w:pPr>
        <w:spacing w:line="360" w:lineRule="auto"/>
        <w:rPr>
          <w:rFonts w:ascii="Andalus" w:hAnsi="Andalus" w:cs="Andalus"/>
          <w:sz w:val="20"/>
          <w:szCs w:val="20"/>
          <w:lang w:eastAsia="it-IT"/>
        </w:rPr>
      </w:pPr>
      <w:r w:rsidRPr="00DF5C5E">
        <w:rPr>
          <w:rFonts w:ascii="Andalus" w:hAnsi="Andalus" w:cs="Andalus"/>
          <w:sz w:val="20"/>
          <w:szCs w:val="20"/>
          <w:lang w:eastAsia="it-IT"/>
        </w:rPr>
        <w:t>CATEGORIA  2.02 e 2.03 – TRASFERIMENTI CORRENTI E PER FUNZIONI DELEGATE R.A.S.</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Dall’analisi dei dati dei trasferimenti regionali correnti e soprattutto dei trasferimenti regionali concessi per funzioni delegate emerge il considerevole aumento dei finanziamenti a partire dall'anno 2007 concomitante al passaggio di sempre nuove competenze dalla Regione alle Province, disciplinate da specifiche leggi regionali in materia.</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I trasferimenti correnti della Regione sono pervenuti  per interventi straordinari e imprevisti per il diritto allo studio ex legge regionale 25.6.84 n. 31, per interventi per la sicurezza della balneazione lungo le coste,  per la mobilità dei dipendenti di ex comunità montane e  per l’esternalizzazione dei servizi relativi alla stabilizzazione dei lavoratori socialmente utili.</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Nel totale è stata accertata la somma di € 782.862,42 e rappresentano 1,40  % del totale delle entrate accertate.</w:t>
      </w:r>
    </w:p>
    <w:p w:rsidR="00C94484" w:rsidRPr="00DF5C5E" w:rsidRDefault="00C94484" w:rsidP="00C94484">
      <w:pPr>
        <w:spacing w:line="360" w:lineRule="auto"/>
        <w:jc w:val="both"/>
        <w:rPr>
          <w:rFonts w:ascii="Andalus" w:hAnsi="Andalus" w:cs="Andalus"/>
          <w:sz w:val="20"/>
          <w:szCs w:val="20"/>
          <w:lang w:eastAsia="it-IT"/>
        </w:rPr>
      </w:pP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lastRenderedPageBreak/>
        <w:t>Per quanto riguarda i trasferimenti della Regione per funzioni delegate,  l’art. 10 della legge regionale n. 2 del 29.05.07 ha dettato nuove disposizioni per il finanziamento del sistema delle autonomie locali con l’istituzione del fondo unico nel quale sono confluite le seguenti leggi regionali: n. 37 del 21.12.1998, n. 25 del 01.06.1993, n. 19 del 23.05.1997, n. 4 del 20.04.2000, n. 9 del 2006. Il fondo unico rappresenta una delle maggiori entrate  dell'ente e non avendo natura vincolata può essere utilizzato per finanziare sia spese correnti che  spese di investimento.</w:t>
      </w:r>
    </w:p>
    <w:p w:rsidR="00D63EAB"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Il trasferimento in favore della nostra Provincia nell'anno 2011 è stato di € 7.653.786,87ed è stato destinato interamente al finanziamento di spese correnti.</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 xml:space="preserve">Fra gli altri  trasferimenti per funzioni delegate, oltre al citato fondo unico i più importanti hanno riguardato i trasferimenti per il personale trasferito dal Ministero del Lavoro e per la prosecuzione dei servizi sperimentali per l’impiego, i trasferimenti per le funzioni ex </w:t>
      </w:r>
      <w:proofErr w:type="spellStart"/>
      <w:r w:rsidRPr="00DF5C5E">
        <w:rPr>
          <w:rFonts w:ascii="Andalus" w:hAnsi="Andalus" w:cs="Andalus"/>
          <w:sz w:val="20"/>
          <w:szCs w:val="20"/>
          <w:lang w:eastAsia="it-IT"/>
        </w:rPr>
        <w:t>E.P.T</w:t>
      </w:r>
      <w:proofErr w:type="spellEnd"/>
      <w:r w:rsidRPr="00DF5C5E">
        <w:rPr>
          <w:rFonts w:ascii="Andalus" w:hAnsi="Andalus" w:cs="Andalus"/>
          <w:sz w:val="20"/>
          <w:szCs w:val="20"/>
          <w:lang w:eastAsia="it-IT"/>
        </w:rPr>
        <w:t xml:space="preserve"> e  per il finanziamento ex </w:t>
      </w:r>
      <w:proofErr w:type="spellStart"/>
      <w:r w:rsidRPr="00DF5C5E">
        <w:rPr>
          <w:rFonts w:ascii="Andalus" w:hAnsi="Andalus" w:cs="Andalus"/>
          <w:sz w:val="20"/>
          <w:szCs w:val="20"/>
          <w:lang w:eastAsia="it-IT"/>
        </w:rPr>
        <w:t>Craaii</w:t>
      </w:r>
      <w:proofErr w:type="spellEnd"/>
      <w:r w:rsidRPr="00DF5C5E">
        <w:rPr>
          <w:rFonts w:ascii="Andalus" w:hAnsi="Andalus" w:cs="Andalus"/>
          <w:sz w:val="20"/>
          <w:szCs w:val="20"/>
          <w:lang w:eastAsia="it-IT"/>
        </w:rPr>
        <w:t xml:space="preserve">, in materia di cultura e beni culturali, per il programma d'Azione Zona Vulnerabile da Nitrati, per l'erogazione di contributi alle scuole d'infanzia non statali,per il piano annuale regionale di formazione professionale, per il pagamento indennizzi dei danni causati dalla fauna selvatica , per il progetto Azione di sistema Welfare </w:t>
      </w:r>
      <w:proofErr w:type="spellStart"/>
      <w:r w:rsidRPr="00DF5C5E">
        <w:rPr>
          <w:rFonts w:ascii="Andalus" w:hAnsi="Andalus" w:cs="Andalus"/>
          <w:sz w:val="20"/>
          <w:szCs w:val="20"/>
          <w:lang w:eastAsia="it-IT"/>
        </w:rPr>
        <w:t>to</w:t>
      </w:r>
      <w:proofErr w:type="spellEnd"/>
      <w:r w:rsidRPr="00DF5C5E">
        <w:rPr>
          <w:rFonts w:ascii="Andalus" w:hAnsi="Andalus" w:cs="Andalus"/>
          <w:sz w:val="20"/>
          <w:szCs w:val="20"/>
          <w:lang w:eastAsia="it-IT"/>
        </w:rPr>
        <w:t xml:space="preserve"> Work per le politiche del reimpiego, etc.</w:t>
      </w:r>
    </w:p>
    <w:p w:rsidR="00C94484" w:rsidRPr="00DF5C5E" w:rsidRDefault="00C94484" w:rsidP="00C94484">
      <w:pPr>
        <w:spacing w:line="360" w:lineRule="auto"/>
        <w:jc w:val="both"/>
        <w:rPr>
          <w:rFonts w:ascii="Andalus" w:hAnsi="Andalus" w:cs="Andalus"/>
          <w:sz w:val="20"/>
          <w:szCs w:val="20"/>
          <w:lang w:eastAsia="it-IT"/>
        </w:rPr>
      </w:pPr>
      <w:r w:rsidRPr="00DF5C5E">
        <w:rPr>
          <w:rFonts w:ascii="Andalus" w:hAnsi="Andalus" w:cs="Andalus"/>
          <w:sz w:val="20"/>
          <w:szCs w:val="20"/>
          <w:lang w:eastAsia="it-IT"/>
        </w:rPr>
        <w:t>Nel totale è stata accertata la somma di € 20.760.364,70 e rappresentano il 37,17 % del totale delle entrate accertate.</w:t>
      </w:r>
    </w:p>
    <w:p w:rsidR="00C94484" w:rsidRPr="00DF5C5E" w:rsidRDefault="00C94484" w:rsidP="00C94484">
      <w:pPr>
        <w:spacing w:line="360" w:lineRule="auto"/>
        <w:jc w:val="both"/>
        <w:rPr>
          <w:rFonts w:ascii="Andalus" w:hAnsi="Andalus" w:cs="Andalus"/>
          <w:sz w:val="20"/>
          <w:szCs w:val="20"/>
          <w:lang w:eastAsia="it-IT"/>
        </w:rPr>
      </w:pPr>
    </w:p>
    <w:p w:rsidR="00C94484" w:rsidRDefault="00593495" w:rsidP="00A97E14">
      <w:pPr>
        <w:spacing w:line="360" w:lineRule="auto"/>
        <w:jc w:val="center"/>
        <w:rPr>
          <w:rFonts w:cs="Arial"/>
          <w:sz w:val="24"/>
          <w:szCs w:val="24"/>
        </w:rPr>
      </w:pPr>
      <w:r>
        <w:rPr>
          <w:rFonts w:cs="Arial"/>
          <w:noProof/>
          <w:sz w:val="24"/>
          <w:szCs w:val="24"/>
          <w:lang w:eastAsia="it-IT"/>
        </w:rPr>
        <w:drawing>
          <wp:inline distT="0" distB="0" distL="0" distR="0">
            <wp:extent cx="6286500" cy="2590800"/>
            <wp:effectExtent l="19050" t="0" r="0" b="0"/>
            <wp:docPr id="22" name="Grafico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co 4"/>
                    <pic:cNvPicPr>
                      <a:picLocks noChangeArrowheads="1"/>
                    </pic:cNvPicPr>
                  </pic:nvPicPr>
                  <pic:blipFill>
                    <a:blip r:embed="rId29" cstate="print"/>
                    <a:srcRect b="-98"/>
                    <a:stretch>
                      <a:fillRect/>
                    </a:stretch>
                  </pic:blipFill>
                  <pic:spPr bwMode="auto">
                    <a:xfrm>
                      <a:off x="0" y="0"/>
                      <a:ext cx="6286500" cy="2590800"/>
                    </a:xfrm>
                    <a:prstGeom prst="rect">
                      <a:avLst/>
                    </a:prstGeom>
                    <a:noFill/>
                    <a:ln w="9525">
                      <a:noFill/>
                      <a:miter lim="800000"/>
                      <a:headEnd/>
                      <a:tailEnd/>
                    </a:ln>
                  </pic:spPr>
                </pic:pic>
              </a:graphicData>
            </a:graphic>
          </wp:inline>
        </w:drawing>
      </w:r>
    </w:p>
    <w:p w:rsidR="00C94484" w:rsidRDefault="00C94484" w:rsidP="00C94484">
      <w:pPr>
        <w:spacing w:line="360" w:lineRule="auto"/>
        <w:jc w:val="both"/>
        <w:rPr>
          <w:rFonts w:cs="Arial"/>
          <w:sz w:val="24"/>
          <w:szCs w:val="24"/>
        </w:rPr>
      </w:pP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Nel 2011 la quota dei trasferimenti della Regione (Cat. 2.02 + 2.03) di € 21.543.227,12 ha rappresentato il 38,57 % del totale delle entrate accertate con un considerevole incremento rispetto al 2010 del 48,87 %. L'importo delle riscossioni è stato di € 14.539.158,26 e rappresenta il 67,49 di quanto accertato.</w:t>
      </w:r>
    </w:p>
    <w:p w:rsidR="002F032A" w:rsidRDefault="002F032A" w:rsidP="00DF5C5E">
      <w:pPr>
        <w:spacing w:line="360" w:lineRule="auto"/>
        <w:rPr>
          <w:rFonts w:ascii="Andalus" w:hAnsi="Andalus" w:cs="Andalus"/>
          <w:sz w:val="20"/>
          <w:szCs w:val="20"/>
          <w:lang w:eastAsia="it-IT"/>
        </w:rPr>
      </w:pPr>
    </w:p>
    <w:p w:rsidR="002F032A" w:rsidRDefault="002F032A" w:rsidP="00DF5C5E">
      <w:pPr>
        <w:spacing w:line="360" w:lineRule="auto"/>
        <w:rPr>
          <w:rFonts w:ascii="Andalus" w:hAnsi="Andalus" w:cs="Andalus"/>
          <w:sz w:val="20"/>
          <w:szCs w:val="20"/>
          <w:lang w:eastAsia="it-IT"/>
        </w:rPr>
      </w:pP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CATEGORIA  2.05  CONTRIBUTI E TRASFERIMENTI  CORRENTI DA ALTRI ENTI DEL SETTORE PUBBLICO</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In questa categoria sono stati finanziati: </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 Programma Master and back – attivazione borsa di rientro bando 2007/2008 per € 48.000,00.</w:t>
      </w:r>
    </w:p>
    <w:p w:rsidR="00C94484" w:rsidRPr="00DF5C5E" w:rsidRDefault="00C94484" w:rsidP="00DF5C5E">
      <w:pPr>
        <w:spacing w:line="360" w:lineRule="auto"/>
        <w:rPr>
          <w:rFonts w:ascii="Andalus" w:hAnsi="Andalus" w:cs="Andalus"/>
          <w:sz w:val="20"/>
          <w:szCs w:val="20"/>
          <w:lang w:eastAsia="it-IT"/>
        </w:rPr>
      </w:pPr>
      <w:r w:rsidRPr="00DF5C5E">
        <w:rPr>
          <w:rFonts w:ascii="Andalus" w:hAnsi="Andalus" w:cs="Andalus"/>
          <w:sz w:val="20"/>
          <w:szCs w:val="20"/>
          <w:lang w:eastAsia="it-IT"/>
        </w:rPr>
        <w:t xml:space="preserve">POR Sardegna 2007-2013 Asse III Inclusione sociale Programma ad </w:t>
      </w:r>
      <w:proofErr w:type="spellStart"/>
      <w:r w:rsidRPr="00DF5C5E">
        <w:rPr>
          <w:rFonts w:ascii="Andalus" w:hAnsi="Andalus" w:cs="Andalus"/>
          <w:sz w:val="20"/>
          <w:szCs w:val="20"/>
          <w:lang w:eastAsia="it-IT"/>
        </w:rPr>
        <w:t>Altiora</w:t>
      </w:r>
      <w:proofErr w:type="spellEnd"/>
      <w:r w:rsidRPr="00DF5C5E">
        <w:rPr>
          <w:rFonts w:ascii="Andalus" w:hAnsi="Andalus" w:cs="Andalus"/>
          <w:sz w:val="20"/>
          <w:szCs w:val="20"/>
          <w:lang w:eastAsia="it-IT"/>
        </w:rPr>
        <w:t xml:space="preserve">. </w:t>
      </w:r>
      <w:proofErr w:type="spellStart"/>
      <w:r w:rsidRPr="00DF5C5E">
        <w:rPr>
          <w:rFonts w:ascii="Andalus" w:hAnsi="Andalus" w:cs="Andalus"/>
          <w:sz w:val="20"/>
          <w:szCs w:val="20"/>
          <w:lang w:eastAsia="it-IT"/>
        </w:rPr>
        <w:t>Prog</w:t>
      </w:r>
      <w:proofErr w:type="spellEnd"/>
      <w:r w:rsidRPr="00DF5C5E">
        <w:rPr>
          <w:rFonts w:ascii="Andalus" w:hAnsi="Andalus" w:cs="Andalus"/>
          <w:sz w:val="20"/>
          <w:szCs w:val="20"/>
          <w:lang w:eastAsia="it-IT"/>
        </w:rPr>
        <w:t xml:space="preserve">."Ottiche di integrazione" </w:t>
      </w:r>
      <w:proofErr w:type="spellStart"/>
      <w:r w:rsidRPr="00DF5C5E">
        <w:rPr>
          <w:rFonts w:ascii="Andalus" w:hAnsi="Andalus" w:cs="Andalus"/>
          <w:sz w:val="20"/>
          <w:szCs w:val="20"/>
          <w:lang w:eastAsia="it-IT"/>
        </w:rPr>
        <w:t>Trasf</w:t>
      </w:r>
      <w:proofErr w:type="spellEnd"/>
      <w:r w:rsidRPr="00DF5C5E">
        <w:rPr>
          <w:rFonts w:ascii="Andalus" w:hAnsi="Andalus" w:cs="Andalus"/>
          <w:sz w:val="20"/>
          <w:szCs w:val="20"/>
          <w:lang w:eastAsia="it-IT"/>
        </w:rPr>
        <w:t xml:space="preserve">. da capofila </w:t>
      </w:r>
      <w:proofErr w:type="spellStart"/>
      <w:r w:rsidRPr="00DF5C5E">
        <w:rPr>
          <w:rFonts w:ascii="Andalus" w:hAnsi="Andalus" w:cs="Andalus"/>
          <w:sz w:val="20"/>
          <w:szCs w:val="20"/>
          <w:lang w:eastAsia="it-IT"/>
        </w:rPr>
        <w:t>Cnos</w:t>
      </w:r>
      <w:proofErr w:type="spellEnd"/>
      <w:r w:rsidRPr="00DF5C5E">
        <w:rPr>
          <w:rFonts w:ascii="Andalus" w:hAnsi="Andalus" w:cs="Andalus"/>
          <w:sz w:val="20"/>
          <w:szCs w:val="20"/>
          <w:lang w:eastAsia="it-IT"/>
        </w:rPr>
        <w:t xml:space="preserve"> </w:t>
      </w:r>
      <w:proofErr w:type="spellStart"/>
      <w:r w:rsidRPr="00DF5C5E">
        <w:rPr>
          <w:rFonts w:ascii="Andalus" w:hAnsi="Andalus" w:cs="Andalus"/>
          <w:sz w:val="20"/>
          <w:szCs w:val="20"/>
          <w:lang w:eastAsia="it-IT"/>
        </w:rPr>
        <w:t>Fap</w:t>
      </w:r>
      <w:proofErr w:type="spellEnd"/>
      <w:r w:rsidRPr="00DF5C5E">
        <w:rPr>
          <w:rFonts w:ascii="Andalus" w:hAnsi="Andalus" w:cs="Andalus"/>
          <w:sz w:val="20"/>
          <w:szCs w:val="20"/>
          <w:lang w:eastAsia="it-IT"/>
        </w:rPr>
        <w:t xml:space="preserve"> Sardegna € 67.040,04.</w:t>
      </w:r>
    </w:p>
    <w:p w:rsidR="002F032A" w:rsidRDefault="002F032A" w:rsidP="00C94484">
      <w:pPr>
        <w:spacing w:line="360" w:lineRule="auto"/>
        <w:jc w:val="center"/>
        <w:rPr>
          <w:rFonts w:cs="Arial"/>
          <w:sz w:val="24"/>
          <w:szCs w:val="24"/>
        </w:rPr>
      </w:pPr>
    </w:p>
    <w:p w:rsidR="00C94484" w:rsidRDefault="00E742FE" w:rsidP="00C94484">
      <w:pPr>
        <w:spacing w:line="360" w:lineRule="auto"/>
        <w:jc w:val="center"/>
        <w:rPr>
          <w:rFonts w:cs="Arial"/>
          <w:sz w:val="24"/>
          <w:szCs w:val="24"/>
        </w:rPr>
      </w:pPr>
      <w:r>
        <w:rPr>
          <w:rFonts w:cs="Arial"/>
          <w:sz w:val="24"/>
          <w:szCs w:val="24"/>
        </w:rPr>
        <w:t xml:space="preserve"> </w:t>
      </w:r>
      <w:r w:rsidR="00C94484">
        <w:rPr>
          <w:rFonts w:cs="Arial"/>
          <w:sz w:val="24"/>
          <w:szCs w:val="24"/>
        </w:rPr>
        <w:t>TITOLO 3° - ENTRATE EXTRATRIBUTARIE</w:t>
      </w:r>
    </w:p>
    <w:p w:rsidR="00C94484" w:rsidRDefault="00C94484" w:rsidP="00C94484">
      <w:pPr>
        <w:spacing w:line="360" w:lineRule="auto"/>
        <w:jc w:val="center"/>
        <w:rPr>
          <w:rFonts w:cs="Arial"/>
          <w:sz w:val="24"/>
          <w:szCs w:val="24"/>
        </w:rPr>
      </w:pP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Le entrate in questione contribuiscono, assieme alle entrate del titolo I e II, a determinare l’ammontare complessivo delle risorse destinate al finanziamento della spesa corrente. Raggruppa le entrate di parte corrente proprie dell’ente, provenienti dalla erogazione dei servizi pubblici, da proventi dei beni dell’ente, dagli interessi sulle giacenze di Tesoreria e Cassa Depositi e Prestiti e da altri proventi diversi, secondo le categorie indicate nell’apposito prospetto. </w:t>
      </w:r>
      <w:bookmarkStart w:id="10" w:name="OLE_LINK26"/>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Le entrate extratributarie sono abbastanza limitate e rappresentano solo 1,49 % del totale delle somme accertate durante l'esercizio, più specificamente l’incidenza di queste risorse sul complesso delle entrate correnti è del 2,07 %</w:t>
      </w:r>
      <w:bookmarkEnd w:id="10"/>
      <w:r w:rsidRPr="008F6D4A">
        <w:rPr>
          <w:rFonts w:ascii="Andalus" w:hAnsi="Andalus" w:cs="Andalus"/>
          <w:sz w:val="20"/>
          <w:szCs w:val="20"/>
          <w:lang w:eastAsia="it-IT"/>
        </w:rPr>
        <w:t>.</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In particolare nella categoria 1 sono state accertate e riscosse le somme relative ai diritti di segreteria, le sanzioni amministrative di natura ambientale, i diritti di istruttoria per autorizzazioni scarichi, pozzi, linee elettriche, etc.</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Nella categoria 2  "proventi beni dell'ente" sono state accertati e riscossi i canoni per l'utilizzo delle palestre e per la concessione del Centro Ippico di Arborea alla società </w:t>
      </w:r>
      <w:proofErr w:type="spellStart"/>
      <w:r w:rsidRPr="008F6D4A">
        <w:rPr>
          <w:rFonts w:ascii="Andalus" w:hAnsi="Andalus" w:cs="Andalus"/>
          <w:sz w:val="20"/>
          <w:szCs w:val="20"/>
          <w:lang w:eastAsia="it-IT"/>
        </w:rPr>
        <w:t>Horse</w:t>
      </w:r>
      <w:proofErr w:type="spellEnd"/>
      <w:r w:rsidRPr="008F6D4A">
        <w:rPr>
          <w:rFonts w:ascii="Andalus" w:hAnsi="Andalus" w:cs="Andalus"/>
          <w:sz w:val="20"/>
          <w:szCs w:val="20"/>
          <w:lang w:eastAsia="it-IT"/>
        </w:rPr>
        <w:t xml:space="preserve"> </w:t>
      </w:r>
      <w:proofErr w:type="spellStart"/>
      <w:r w:rsidRPr="008F6D4A">
        <w:rPr>
          <w:rFonts w:ascii="Andalus" w:hAnsi="Andalus" w:cs="Andalus"/>
          <w:sz w:val="20"/>
          <w:szCs w:val="20"/>
          <w:lang w:eastAsia="it-IT"/>
        </w:rPr>
        <w:t>Country</w:t>
      </w:r>
      <w:proofErr w:type="spellEnd"/>
      <w:r w:rsidRPr="008F6D4A">
        <w:rPr>
          <w:rFonts w:ascii="Andalus" w:hAnsi="Andalus" w:cs="Andalus"/>
          <w:sz w:val="20"/>
          <w:szCs w:val="20"/>
          <w:lang w:eastAsia="it-IT"/>
        </w:rPr>
        <w:t>.</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Nella categoria 3 figurano  le entrate derivanti dagli interessi maturati sulle giacenze di tesoreria dei fondi liberi e vincolati e dagli interessi attivi presso la Cassa Depositi e Prestiti sui mutui da somministrare.  Rispetto all'anno 2010 si registra un aumento del 28,12 %.</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Nella categoria 5 sono state accertate le somme relative agli introiti per istruttoria pratiche P.S., i corrispettivi dovuti dalle autogestite per il conferimento selvaggina, le quote per partecipazione a soggiorni, per introiti diversi e per le entrate provenienti dal Titolo 2° della spesa per corresponsione incentivo ex commi 5 e 6 dell'art. 92 del </w:t>
      </w:r>
      <w:proofErr w:type="spellStart"/>
      <w:r w:rsidRPr="008F6D4A">
        <w:rPr>
          <w:rFonts w:ascii="Andalus" w:hAnsi="Andalus" w:cs="Andalus"/>
          <w:sz w:val="20"/>
          <w:szCs w:val="20"/>
          <w:lang w:eastAsia="it-IT"/>
        </w:rPr>
        <w:t>D.Lgs</w:t>
      </w:r>
      <w:proofErr w:type="spellEnd"/>
      <w:r w:rsidRPr="008F6D4A">
        <w:rPr>
          <w:rFonts w:ascii="Andalus" w:hAnsi="Andalus" w:cs="Andalus"/>
          <w:sz w:val="20"/>
          <w:szCs w:val="20"/>
          <w:lang w:eastAsia="it-IT"/>
        </w:rPr>
        <w:t xml:space="preserve"> 12.4.2006 n. 163 ai dipendenti del Settore Edilizia e Viabilità.</w:t>
      </w:r>
    </w:p>
    <w:p w:rsidR="00A97E1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lastRenderedPageBreak/>
        <w:t>La somma complessiva accertata nell'anno 2011 è di € 830.708,69 con un incremento rispetto all'anno precedente del 32,12 %.</w:t>
      </w:r>
    </w:p>
    <w:p w:rsidR="00A97E14" w:rsidRPr="008F6D4A" w:rsidRDefault="00A97E14" w:rsidP="00A97E14">
      <w:pPr>
        <w:rPr>
          <w:rFonts w:ascii="Andalus" w:hAnsi="Andalus" w:cs="Andalus"/>
          <w:sz w:val="20"/>
          <w:szCs w:val="20"/>
          <w:lang w:eastAsia="it-IT"/>
        </w:rPr>
      </w:pPr>
    </w:p>
    <w:p w:rsidR="00A97E14" w:rsidRPr="008F6D4A" w:rsidRDefault="00A50F2E" w:rsidP="00A97E14">
      <w:pPr>
        <w:rPr>
          <w:rFonts w:ascii="Andalus" w:hAnsi="Andalus" w:cs="Andalus"/>
          <w:sz w:val="20"/>
          <w:szCs w:val="20"/>
          <w:lang w:eastAsia="it-IT"/>
        </w:rPr>
      </w:pPr>
      <w:r w:rsidRPr="008F6D4A">
        <w:rPr>
          <w:rFonts w:ascii="Andalus" w:hAnsi="Andalus" w:cs="Andalus"/>
          <w:sz w:val="20"/>
          <w:szCs w:val="20"/>
          <w:lang w:eastAsia="it-IT"/>
        </w:rPr>
        <w:fldChar w:fldCharType="begin"/>
      </w:r>
      <w:r w:rsidR="002654F0" w:rsidRPr="008F6D4A">
        <w:rPr>
          <w:rFonts w:ascii="Andalus" w:hAnsi="Andalus" w:cs="Andalus"/>
          <w:sz w:val="20"/>
          <w:szCs w:val="20"/>
          <w:lang w:eastAsia="it-IT"/>
        </w:rPr>
        <w:instrText xml:space="preserve"> LINK Excel.Sheet.8 "\\\\srvfs01\\Programmazione_Finanziaria_Bilancio\\AREA COMUNE RAGIONERIA\\ENTRATE RENDICONTO 2011\\TITOLO III.xlsx!Foglio1!R6C2:R11C4" "" \a \p \* MERGEFORMAT </w:instrText>
      </w:r>
      <w:r w:rsidRPr="008F6D4A">
        <w:rPr>
          <w:rFonts w:ascii="Andalus" w:hAnsi="Andalus" w:cs="Andalus"/>
          <w:sz w:val="20"/>
          <w:szCs w:val="20"/>
          <w:lang w:eastAsia="it-IT"/>
        </w:rPr>
        <w:fldChar w:fldCharType="separate"/>
      </w:r>
      <w:r w:rsidRPr="00A50F2E">
        <w:rPr>
          <w:rFonts w:ascii="Andalus" w:hAnsi="Andalus" w:cs="Andalus"/>
          <w:sz w:val="20"/>
          <w:szCs w:val="20"/>
          <w:lang w:eastAsia="it-IT"/>
        </w:rPr>
        <w:object w:dxaOrig="4320" w:dyaOrig="4320">
          <v:shape id="_x0000_i1044" type="#_x0000_t75" style="width:513pt;height:127.2pt">
            <v:imagedata r:id="rId30" o:title=""/>
          </v:shape>
        </w:object>
      </w:r>
      <w:r w:rsidRPr="008F6D4A">
        <w:rPr>
          <w:rFonts w:ascii="Andalus" w:hAnsi="Andalus" w:cs="Andalus"/>
          <w:sz w:val="20"/>
          <w:szCs w:val="20"/>
          <w:lang w:eastAsia="it-IT"/>
        </w:rPr>
        <w:fldChar w:fldCharType="end"/>
      </w:r>
    </w:p>
    <w:p w:rsidR="00A97E14" w:rsidRPr="008F6D4A" w:rsidRDefault="00A97E14" w:rsidP="00A97E14">
      <w:pPr>
        <w:rPr>
          <w:rFonts w:ascii="Andalus" w:hAnsi="Andalus" w:cs="Andalus"/>
          <w:sz w:val="20"/>
          <w:szCs w:val="20"/>
          <w:lang w:eastAsia="it-IT"/>
        </w:rPr>
      </w:pPr>
    </w:p>
    <w:p w:rsidR="00C94484" w:rsidRPr="008F6D4A" w:rsidRDefault="00C94484" w:rsidP="00C94484">
      <w:pPr>
        <w:spacing w:line="360" w:lineRule="auto"/>
        <w:jc w:val="center"/>
        <w:rPr>
          <w:rFonts w:ascii="Andalus" w:hAnsi="Andalus" w:cs="Andalus"/>
          <w:sz w:val="20"/>
          <w:szCs w:val="20"/>
          <w:lang w:eastAsia="it-IT"/>
        </w:rPr>
      </w:pPr>
    </w:p>
    <w:p w:rsidR="00C94484" w:rsidRPr="008F6D4A" w:rsidRDefault="00A50F2E"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fldChar w:fldCharType="begin"/>
      </w:r>
      <w:r w:rsidR="002654F0" w:rsidRPr="008F6D4A">
        <w:rPr>
          <w:rFonts w:ascii="Andalus" w:hAnsi="Andalus" w:cs="Andalus"/>
          <w:sz w:val="20"/>
          <w:szCs w:val="20"/>
          <w:lang w:eastAsia="it-IT"/>
        </w:rPr>
        <w:instrText xml:space="preserve"> LINK Excel.Sheet.8 "\\\\srvfs01\\Programmazione_Finanziaria_Bilancio\\AREA COMUNE RAGIONERIA\\ENTRATE RENDICONTO 2011\\TITOLO III.xlsx!Foglio2!R4C2:R10C10" "" \a \p </w:instrText>
      </w:r>
      <w:r w:rsidR="008F6D4A">
        <w:rPr>
          <w:rFonts w:ascii="Andalus" w:hAnsi="Andalus" w:cs="Andalus"/>
          <w:sz w:val="20"/>
          <w:szCs w:val="20"/>
          <w:lang w:eastAsia="it-IT"/>
        </w:rPr>
        <w:instrText xml:space="preserve"> \* MERGEFORMAT </w:instrText>
      </w:r>
      <w:r w:rsidRPr="008F6D4A">
        <w:rPr>
          <w:rFonts w:ascii="Andalus" w:hAnsi="Andalus" w:cs="Andalus"/>
          <w:sz w:val="20"/>
          <w:szCs w:val="20"/>
          <w:lang w:eastAsia="it-IT"/>
        </w:rPr>
        <w:fldChar w:fldCharType="separate"/>
      </w:r>
      <w:r w:rsidRPr="00A50F2E">
        <w:rPr>
          <w:rFonts w:ascii="Andalus" w:hAnsi="Andalus" w:cs="Andalus"/>
          <w:sz w:val="20"/>
          <w:szCs w:val="20"/>
          <w:lang w:eastAsia="it-IT"/>
        </w:rPr>
        <w:object w:dxaOrig="4320" w:dyaOrig="4320">
          <v:shape id="_x0000_i1045" type="#_x0000_t75" style="width:514.2pt;height:2in">
            <v:imagedata r:id="rId31" o:title=""/>
          </v:shape>
        </w:object>
      </w:r>
      <w:r w:rsidRPr="008F6D4A">
        <w:rPr>
          <w:rFonts w:ascii="Andalus" w:hAnsi="Andalus" w:cs="Andalus"/>
          <w:sz w:val="20"/>
          <w:szCs w:val="20"/>
          <w:lang w:eastAsia="it-IT"/>
        </w:rPr>
        <w:fldChar w:fldCharType="end"/>
      </w:r>
    </w:p>
    <w:p w:rsidR="00C94484" w:rsidRPr="008F6D4A" w:rsidRDefault="00C94484" w:rsidP="00C94484">
      <w:pPr>
        <w:spacing w:line="360" w:lineRule="auto"/>
        <w:jc w:val="both"/>
        <w:rPr>
          <w:rFonts w:ascii="Andalus" w:hAnsi="Andalus" w:cs="Andalus"/>
          <w:sz w:val="20"/>
          <w:szCs w:val="20"/>
          <w:lang w:eastAsia="it-IT"/>
        </w:rPr>
      </w:pPr>
    </w:p>
    <w:p w:rsidR="00961FFC" w:rsidRPr="008F6D4A" w:rsidRDefault="00961FFC" w:rsidP="00C94484">
      <w:pPr>
        <w:spacing w:line="360" w:lineRule="auto"/>
        <w:jc w:val="both"/>
        <w:rPr>
          <w:rFonts w:ascii="Andalus" w:hAnsi="Andalus" w:cs="Andalus"/>
          <w:sz w:val="20"/>
          <w:szCs w:val="20"/>
          <w:lang w:eastAsia="it-IT"/>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961FFC" w:rsidP="00961FFC">
      <w:pPr>
        <w:spacing w:line="360" w:lineRule="auto"/>
        <w:jc w:val="center"/>
        <w:rPr>
          <w:bCs/>
          <w:sz w:val="28"/>
          <w:szCs w:val="28"/>
        </w:rPr>
      </w:pPr>
      <w:r w:rsidRPr="00961FFC">
        <w:rPr>
          <w:bCs/>
          <w:sz w:val="28"/>
          <w:szCs w:val="28"/>
        </w:rPr>
        <w:t>INDICATORI FINANZIARI</w:t>
      </w:r>
    </w:p>
    <w:p w:rsidR="007B1786" w:rsidRPr="00961FFC" w:rsidRDefault="007B1786" w:rsidP="00961FFC">
      <w:pPr>
        <w:spacing w:line="360" w:lineRule="auto"/>
        <w:jc w:val="center"/>
        <w:rPr>
          <w:bCs/>
          <w:sz w:val="28"/>
          <w:szCs w:val="28"/>
        </w:rPr>
      </w:pPr>
    </w:p>
    <w:p w:rsidR="00961FFC" w:rsidRDefault="00A50F2E" w:rsidP="00C94484">
      <w:pPr>
        <w:spacing w:line="360" w:lineRule="auto"/>
        <w:jc w:val="both"/>
        <w:rPr>
          <w:bCs/>
          <w:sz w:val="24"/>
          <w:szCs w:val="24"/>
        </w:rPr>
      </w:pPr>
      <w:r>
        <w:rPr>
          <w:bCs/>
          <w:sz w:val="24"/>
          <w:szCs w:val="24"/>
        </w:rPr>
        <w:fldChar w:fldCharType="begin"/>
      </w:r>
      <w:r w:rsidR="002654F0">
        <w:rPr>
          <w:bCs/>
          <w:sz w:val="24"/>
          <w:szCs w:val="24"/>
        </w:rPr>
        <w:instrText xml:space="preserve"> LINK Excel.Sheet.8 "\\\\srvfs01\\Programmazione_Finanziaria_Bilancio\\AREA COMUNE RAGIONERIA\\Grazia Loi\\Indicatori Entrate\\Autonomia Finanziaria.xlsx!Foglio1!R5C1:R5C7" "" \a \p </w:instrText>
      </w:r>
      <w:r>
        <w:rPr>
          <w:bCs/>
          <w:sz w:val="24"/>
          <w:szCs w:val="24"/>
        </w:rPr>
        <w:fldChar w:fldCharType="separate"/>
      </w:r>
      <w:r w:rsidR="006D5FA4" w:rsidRPr="00A50F2E">
        <w:rPr>
          <w:bCs/>
          <w:sz w:val="24"/>
          <w:szCs w:val="24"/>
        </w:rPr>
        <w:object w:dxaOrig="13754" w:dyaOrig="540">
          <v:shape id="_x0000_i1046" type="#_x0000_t75" style="width:430.8pt;height:16.2pt">
            <v:imagedata r:id="rId32" o:title=""/>
          </v:shape>
        </w:object>
      </w:r>
      <w:r>
        <w:rPr>
          <w:bCs/>
          <w:sz w:val="24"/>
          <w:szCs w:val="24"/>
        </w:rPr>
        <w:fldChar w:fldCharType="end"/>
      </w:r>
    </w:p>
    <w:p w:rsidR="00961FFC" w:rsidRDefault="00A50F2E" w:rsidP="00C94484">
      <w:pPr>
        <w:spacing w:line="360" w:lineRule="auto"/>
        <w:jc w:val="both"/>
        <w:rPr>
          <w:bCs/>
          <w:sz w:val="24"/>
          <w:szCs w:val="24"/>
        </w:rPr>
      </w:pPr>
      <w:r>
        <w:rPr>
          <w:bCs/>
          <w:sz w:val="24"/>
          <w:szCs w:val="24"/>
        </w:rPr>
        <w:fldChar w:fldCharType="begin"/>
      </w:r>
      <w:r w:rsidR="002654F0">
        <w:rPr>
          <w:bCs/>
          <w:sz w:val="24"/>
          <w:szCs w:val="24"/>
        </w:rPr>
        <w:instrText xml:space="preserve"> LINK Excel.Sheet.8 "\\\\srvfs01\\Programmazione_Finanziaria_Bilancio\\AREA COMUNE RAGIONERIA\\Grazia Loi\\Indicatori Entrate\\Autonomia Finanziaria.xlsx!Foglio1!R8C1:R18C8" "" \a \p </w:instrText>
      </w:r>
      <w:r>
        <w:rPr>
          <w:bCs/>
          <w:sz w:val="24"/>
          <w:szCs w:val="24"/>
        </w:rPr>
        <w:fldChar w:fldCharType="separate"/>
      </w:r>
      <w:r w:rsidR="006D5FA4" w:rsidRPr="00A50F2E">
        <w:rPr>
          <w:bCs/>
          <w:sz w:val="24"/>
          <w:szCs w:val="24"/>
        </w:rPr>
        <w:object w:dxaOrig="16356" w:dyaOrig="6915">
          <v:shape id="_x0000_i1047" type="#_x0000_t75" style="width:511.8pt;height:210pt">
            <v:imagedata r:id="rId33" o:title=""/>
          </v:shape>
        </w:object>
      </w:r>
      <w:r>
        <w:rPr>
          <w:bCs/>
          <w:sz w:val="24"/>
          <w:szCs w:val="24"/>
        </w:rPr>
        <w:fldChar w:fldCharType="end"/>
      </w:r>
    </w:p>
    <w:p w:rsidR="00961FFC" w:rsidRDefault="00961FFC" w:rsidP="00C94484">
      <w:pPr>
        <w:spacing w:line="360" w:lineRule="auto"/>
        <w:jc w:val="both"/>
        <w:rPr>
          <w:bCs/>
          <w:sz w:val="24"/>
          <w:szCs w:val="24"/>
        </w:rPr>
      </w:pPr>
    </w:p>
    <w:p w:rsidR="00961FFC" w:rsidRDefault="00961FFC" w:rsidP="00C94484">
      <w:pPr>
        <w:spacing w:line="360" w:lineRule="auto"/>
        <w:jc w:val="both"/>
        <w:rPr>
          <w:bCs/>
          <w:sz w:val="24"/>
          <w:szCs w:val="24"/>
        </w:rPr>
      </w:pPr>
    </w:p>
    <w:p w:rsidR="00961FFC" w:rsidRDefault="00A50F2E" w:rsidP="00961FFC">
      <w:pPr>
        <w:spacing w:line="360" w:lineRule="auto"/>
        <w:jc w:val="center"/>
        <w:rPr>
          <w:bCs/>
          <w:sz w:val="24"/>
          <w:szCs w:val="24"/>
        </w:rPr>
      </w:pPr>
      <w:r>
        <w:rPr>
          <w:bCs/>
          <w:sz w:val="24"/>
          <w:szCs w:val="24"/>
        </w:rPr>
        <w:fldChar w:fldCharType="begin"/>
      </w:r>
      <w:r w:rsidR="002654F0">
        <w:rPr>
          <w:bCs/>
          <w:sz w:val="24"/>
          <w:szCs w:val="24"/>
        </w:rPr>
        <w:instrText xml:space="preserve"> LINK Excel.Sheet.8 "\\\\srvfs01\\Programmazione_Finanziaria_Bilancio\\AREA COMUNE RAGIONERIA\\Grazia Loi\\Indicatori Entrate\\Autonomia Finanziaria.xlsx!Foglio1![Autonomia Finanziaria.xlsx]Foglio1 Grafico 2" "" \a \p \* MERGEFORMAT </w:instrText>
      </w:r>
      <w:r>
        <w:rPr>
          <w:bCs/>
          <w:sz w:val="24"/>
          <w:szCs w:val="24"/>
        </w:rPr>
        <w:fldChar w:fldCharType="separate"/>
      </w:r>
      <w:r w:rsidR="006D5FA4" w:rsidRPr="00A50F2E">
        <w:rPr>
          <w:bCs/>
          <w:sz w:val="24"/>
          <w:szCs w:val="24"/>
        </w:rPr>
        <w:object w:dxaOrig="12292" w:dyaOrig="7235">
          <v:shape id="_x0000_i1048" type="#_x0000_t75" style="width:498pt;height:216.6pt">
            <v:imagedata r:id="rId34" o:title=""/>
          </v:shape>
        </w:object>
      </w:r>
      <w:r>
        <w:rPr>
          <w:bCs/>
          <w:sz w:val="24"/>
          <w:szCs w:val="24"/>
        </w:rPr>
        <w:fldChar w:fldCharType="end"/>
      </w:r>
    </w:p>
    <w:p w:rsidR="00961FFC" w:rsidRDefault="00A50F2E" w:rsidP="00C94484">
      <w:pPr>
        <w:spacing w:line="360" w:lineRule="auto"/>
        <w:jc w:val="center"/>
        <w:rPr>
          <w:rFonts w:cs="Arial"/>
          <w:sz w:val="32"/>
          <w:szCs w:val="32"/>
        </w:rPr>
      </w:pPr>
      <w:r>
        <w:rPr>
          <w:rFonts w:cs="Arial"/>
          <w:sz w:val="32"/>
          <w:szCs w:val="32"/>
        </w:rPr>
        <w:lastRenderedPageBreak/>
        <w:fldChar w:fldCharType="begin"/>
      </w:r>
      <w:r w:rsidR="002654F0">
        <w:rPr>
          <w:rFonts w:cs="Arial"/>
          <w:sz w:val="32"/>
          <w:szCs w:val="32"/>
        </w:rPr>
        <w:instrText xml:space="preserve"> LINK Excel.Sheet.8 "\\\\srvfs01\\Programmazione_Finanziaria_Bilancio\\AREA COMUNE RAGIONERIA\\Grazia Loi\\Indicatori Entrate\\Autonomia Tariffaria Propria.xlsx!Foglio1!R5C1:R16C8" "" \a \p </w:instrText>
      </w:r>
      <w:r>
        <w:rPr>
          <w:rFonts w:cs="Arial"/>
          <w:sz w:val="32"/>
          <w:szCs w:val="32"/>
        </w:rPr>
        <w:fldChar w:fldCharType="separate"/>
      </w:r>
      <w:r w:rsidRPr="00A50F2E">
        <w:rPr>
          <w:rFonts w:cs="Arial"/>
          <w:sz w:val="32"/>
          <w:szCs w:val="32"/>
        </w:rPr>
        <w:object w:dxaOrig="4320" w:dyaOrig="4320">
          <v:shape id="_x0000_i1049" type="#_x0000_t75" style="width:511.8pt;height:213.6pt">
            <v:imagedata r:id="rId35"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Entrate\\Autonomia Tariffaria Propria.xlsx!Foglio1![Autonomia Tariffaria Propria.xlsx]Foglio1 Grafico 2" "" \a \p </w:instrText>
      </w:r>
      <w:r>
        <w:rPr>
          <w:rFonts w:cs="Arial"/>
          <w:sz w:val="32"/>
          <w:szCs w:val="32"/>
        </w:rPr>
        <w:fldChar w:fldCharType="separate"/>
      </w:r>
      <w:r w:rsidRPr="00A50F2E">
        <w:rPr>
          <w:rFonts w:cs="Arial"/>
          <w:sz w:val="32"/>
          <w:szCs w:val="32"/>
        </w:rPr>
        <w:object w:dxaOrig="4320" w:dyaOrig="4320">
          <v:shape id="_x0000_i1050" type="#_x0000_t75" style="width:465.6pt;height:216.6pt">
            <v:imagedata r:id="rId36"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lastRenderedPageBreak/>
        <w:fldChar w:fldCharType="begin"/>
      </w:r>
      <w:r w:rsidR="002654F0">
        <w:rPr>
          <w:rFonts w:cs="Arial"/>
          <w:sz w:val="32"/>
          <w:szCs w:val="32"/>
        </w:rPr>
        <w:instrText xml:space="preserve"> LINK Excel.Sheet.8 "\\\\srvfs01\\Programmazione_Finanziaria_Bilancio\\AREA COMUNE RAGIONERIA\\Grazia Loi\\Indicatori Entrate\\Autonomia Tributaria.xlsx!Foglio1!R5C1:R18C8" "" \a \p </w:instrText>
      </w:r>
      <w:r>
        <w:rPr>
          <w:rFonts w:cs="Arial"/>
          <w:sz w:val="32"/>
          <w:szCs w:val="32"/>
        </w:rPr>
        <w:fldChar w:fldCharType="separate"/>
      </w:r>
      <w:r w:rsidR="006D5FA4" w:rsidRPr="00A50F2E">
        <w:rPr>
          <w:rFonts w:cs="Arial"/>
          <w:sz w:val="32"/>
          <w:szCs w:val="32"/>
        </w:rPr>
        <w:object w:dxaOrig="16356" w:dyaOrig="8434">
          <v:shape id="_x0000_i1051" type="#_x0000_t75" style="width:511.8pt;height:255.6pt">
            <v:imagedata r:id="rId37"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Entrate\\Autonomia Tributaria.xlsx!Foglio1![Autonomia Tributaria.xlsx]Foglio1 Grafico 2" "" \a \p </w:instrText>
      </w:r>
      <w:r>
        <w:rPr>
          <w:rFonts w:cs="Arial"/>
          <w:sz w:val="32"/>
          <w:szCs w:val="32"/>
        </w:rPr>
        <w:fldChar w:fldCharType="separate"/>
      </w:r>
      <w:r w:rsidR="006D5FA4" w:rsidRPr="00A50F2E">
        <w:rPr>
          <w:rFonts w:cs="Arial"/>
          <w:sz w:val="32"/>
          <w:szCs w:val="32"/>
        </w:rPr>
        <w:object w:dxaOrig="12292" w:dyaOrig="7235">
          <v:shape id="_x0000_i1052" type="#_x0000_t75" style="width:501.6pt;height:216.6pt">
            <v:imagedata r:id="rId38"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Entrate\\Entrate Extratributarie su proprie.xlsx!Foglio1!R5C1:R17C8" "" \a \p </w:instrText>
      </w:r>
      <w:r>
        <w:rPr>
          <w:rFonts w:cs="Arial"/>
          <w:sz w:val="32"/>
          <w:szCs w:val="32"/>
        </w:rPr>
        <w:fldChar w:fldCharType="separate"/>
      </w:r>
      <w:r w:rsidR="006D5FA4" w:rsidRPr="00A50F2E">
        <w:rPr>
          <w:rFonts w:cs="Arial"/>
          <w:sz w:val="32"/>
          <w:szCs w:val="32"/>
        </w:rPr>
        <w:object w:dxaOrig="16356" w:dyaOrig="7735">
          <v:shape id="_x0000_i1053" type="#_x0000_t75" style="width:511.8pt;height:234.6pt">
            <v:imagedata r:id="rId39"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Entrate\\Entrate Extratributarie su proprie.xlsx!Foglio1![Entrate Extratributarie su proprie.xlsx]Foglio1 Grafico 2" "" \a \p </w:instrText>
      </w:r>
      <w:r>
        <w:rPr>
          <w:rFonts w:cs="Arial"/>
          <w:sz w:val="32"/>
          <w:szCs w:val="32"/>
        </w:rPr>
        <w:fldChar w:fldCharType="separate"/>
      </w:r>
      <w:r w:rsidR="006D5FA4" w:rsidRPr="00A50F2E">
        <w:rPr>
          <w:rFonts w:cs="Arial"/>
          <w:sz w:val="32"/>
          <w:szCs w:val="32"/>
        </w:rPr>
        <w:object w:dxaOrig="12292" w:dyaOrig="7235">
          <v:shape id="_x0000_i1054" type="#_x0000_t75" style="width:503.4pt;height:216.6pt">
            <v:imagedata r:id="rId40"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Entrate\\Grado di dipendenza erariale.xlsx!Foglio1!R5C1:R16C8" "" \a \p </w:instrText>
      </w:r>
      <w:r>
        <w:rPr>
          <w:rFonts w:cs="Arial"/>
          <w:sz w:val="32"/>
          <w:szCs w:val="32"/>
        </w:rPr>
        <w:fldChar w:fldCharType="separate"/>
      </w:r>
      <w:r w:rsidRPr="00A50F2E">
        <w:rPr>
          <w:rFonts w:cs="Arial"/>
          <w:sz w:val="32"/>
          <w:szCs w:val="32"/>
        </w:rPr>
        <w:object w:dxaOrig="4320" w:dyaOrig="4320">
          <v:shape id="_x0000_i1055" type="#_x0000_t75" style="width:511.8pt;height:213.6pt">
            <v:imagedata r:id="rId41"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A50F2E" w:rsidP="00961FFC">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Entrate\\Grado di dipendenza erariale.xlsx!Foglio1![Grado di dipendenza erariale.xlsx]Foglio1 Grafico 2" "" \a \p \* MERGEFORMAT </w:instrText>
      </w:r>
      <w:r>
        <w:rPr>
          <w:rFonts w:cs="Arial"/>
          <w:sz w:val="32"/>
          <w:szCs w:val="32"/>
        </w:rPr>
        <w:fldChar w:fldCharType="separate"/>
      </w:r>
      <w:r w:rsidRPr="00A50F2E">
        <w:rPr>
          <w:rFonts w:cs="Arial"/>
          <w:sz w:val="32"/>
          <w:szCs w:val="32"/>
        </w:rPr>
        <w:object w:dxaOrig="4320" w:dyaOrig="4320">
          <v:shape id="_x0000_i1056" type="#_x0000_t75" style="width:492pt;height:216.6pt">
            <v:imagedata r:id="rId42"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Entrate\\Incidenza Entrate Tributarie su Entrate proprie.xlsx!Foglio1!R5C1:R17C8" "" \a \p </w:instrText>
      </w:r>
      <w:r>
        <w:rPr>
          <w:rFonts w:cs="Arial"/>
          <w:sz w:val="32"/>
          <w:szCs w:val="32"/>
        </w:rPr>
        <w:fldChar w:fldCharType="separate"/>
      </w:r>
      <w:r w:rsidR="006D5FA4" w:rsidRPr="00A50F2E">
        <w:rPr>
          <w:rFonts w:cs="Arial"/>
          <w:sz w:val="32"/>
          <w:szCs w:val="32"/>
        </w:rPr>
        <w:object w:dxaOrig="16356" w:dyaOrig="7735">
          <v:shape id="_x0000_i1057" type="#_x0000_t75" style="width:511.8pt;height:234.6pt">
            <v:imagedata r:id="rId43" o:title=""/>
          </v:shape>
        </w:object>
      </w:r>
      <w:r>
        <w:rPr>
          <w:rFonts w:cs="Arial"/>
          <w:sz w:val="32"/>
          <w:szCs w:val="32"/>
        </w:rPr>
        <w:fldChar w:fldCharType="end"/>
      </w:r>
    </w:p>
    <w:p w:rsidR="00961FFC" w:rsidRDefault="00961FFC" w:rsidP="00C94484">
      <w:pPr>
        <w:spacing w:line="360" w:lineRule="auto"/>
        <w:jc w:val="center"/>
        <w:rPr>
          <w:rFonts w:cs="Arial"/>
          <w:sz w:val="32"/>
          <w:szCs w:val="32"/>
        </w:rPr>
      </w:pPr>
    </w:p>
    <w:p w:rsidR="00961FFC" w:rsidRDefault="00A50F2E" w:rsidP="00C94484">
      <w:pPr>
        <w:spacing w:line="360" w:lineRule="auto"/>
        <w:jc w:val="center"/>
        <w:rPr>
          <w:rFonts w:cs="Arial"/>
          <w:sz w:val="32"/>
          <w:szCs w:val="32"/>
        </w:rPr>
      </w:pPr>
      <w:r>
        <w:rPr>
          <w:rFonts w:cs="Arial"/>
          <w:sz w:val="32"/>
          <w:szCs w:val="32"/>
        </w:rPr>
        <w:fldChar w:fldCharType="begin"/>
      </w:r>
      <w:r w:rsidR="002654F0">
        <w:rPr>
          <w:rFonts w:cs="Arial"/>
          <w:sz w:val="32"/>
          <w:szCs w:val="32"/>
        </w:rPr>
        <w:instrText xml:space="preserve"> LINK Excel.Sheet.8 "\\\\srvfs01\\Programmazione_Finanziaria_Bilancio\\AREA COMUNE RAGIONERIA\\Grazia Loi\\Indicatori Entrate\\Incidenza Entrate Tributarie su Entrate proprie.xlsx!Foglio1![Incidenza Entrate Tributarie su Entrate proprie.xlsx]Foglio1 Grafico 2" "" \a \p </w:instrText>
      </w:r>
      <w:r>
        <w:rPr>
          <w:rFonts w:cs="Arial"/>
          <w:sz w:val="32"/>
          <w:szCs w:val="32"/>
        </w:rPr>
        <w:fldChar w:fldCharType="separate"/>
      </w:r>
      <w:r w:rsidR="006D5FA4" w:rsidRPr="00A50F2E">
        <w:rPr>
          <w:rFonts w:cs="Arial"/>
          <w:sz w:val="32"/>
          <w:szCs w:val="32"/>
        </w:rPr>
        <w:object w:dxaOrig="12292" w:dyaOrig="7235">
          <v:shape id="_x0000_i1058" type="#_x0000_t75" style="width:479.4pt;height:216.6pt">
            <v:imagedata r:id="rId44" o:title=""/>
          </v:shape>
        </w:object>
      </w:r>
      <w:r>
        <w:rPr>
          <w:rFonts w:cs="Arial"/>
          <w:sz w:val="32"/>
          <w:szCs w:val="32"/>
        </w:rPr>
        <w:fldChar w:fldCharType="end"/>
      </w:r>
    </w:p>
    <w:p w:rsidR="007B1786" w:rsidRDefault="007B1786" w:rsidP="00C94484">
      <w:pPr>
        <w:spacing w:line="360" w:lineRule="auto"/>
        <w:jc w:val="center"/>
        <w:rPr>
          <w:rFonts w:cs="Arial"/>
          <w:sz w:val="32"/>
          <w:szCs w:val="32"/>
        </w:rPr>
      </w:pPr>
    </w:p>
    <w:p w:rsidR="007B1786" w:rsidRDefault="007B1786" w:rsidP="00C94484">
      <w:pPr>
        <w:spacing w:line="360" w:lineRule="auto"/>
        <w:jc w:val="center"/>
        <w:rPr>
          <w:rFonts w:cs="Arial"/>
          <w:sz w:val="32"/>
          <w:szCs w:val="32"/>
        </w:rPr>
      </w:pPr>
    </w:p>
    <w:p w:rsidR="007B1786" w:rsidRDefault="007B1786" w:rsidP="00C94484">
      <w:pPr>
        <w:spacing w:line="360" w:lineRule="auto"/>
        <w:jc w:val="center"/>
        <w:rPr>
          <w:rFonts w:cs="Arial"/>
          <w:sz w:val="32"/>
          <w:szCs w:val="32"/>
        </w:rPr>
      </w:pPr>
    </w:p>
    <w:p w:rsidR="007B1786" w:rsidRDefault="007B1786" w:rsidP="00C94484">
      <w:pPr>
        <w:spacing w:line="360" w:lineRule="auto"/>
        <w:jc w:val="center"/>
        <w:rPr>
          <w:rFonts w:cs="Arial"/>
          <w:sz w:val="32"/>
          <w:szCs w:val="32"/>
        </w:rPr>
      </w:pPr>
    </w:p>
    <w:p w:rsidR="00C94484" w:rsidRDefault="00C94484" w:rsidP="00C94484">
      <w:pPr>
        <w:spacing w:line="360" w:lineRule="auto"/>
        <w:jc w:val="center"/>
        <w:rPr>
          <w:rFonts w:cs="Arial"/>
          <w:sz w:val="32"/>
          <w:szCs w:val="32"/>
        </w:rPr>
      </w:pPr>
      <w:r w:rsidRPr="00225432">
        <w:rPr>
          <w:rFonts w:cs="Arial"/>
          <w:sz w:val="32"/>
          <w:szCs w:val="32"/>
        </w:rPr>
        <w:lastRenderedPageBreak/>
        <w:t>TITOLO 4° - ENTRATE IN CONTO CAPITALE</w:t>
      </w:r>
    </w:p>
    <w:p w:rsidR="00C94484" w:rsidRPr="008F6D4A" w:rsidRDefault="00C94484" w:rsidP="008F6D4A">
      <w:pPr>
        <w:spacing w:line="360" w:lineRule="auto"/>
        <w:jc w:val="both"/>
        <w:rPr>
          <w:rFonts w:ascii="Andalus" w:hAnsi="Andalus" w:cs="Andalus"/>
          <w:sz w:val="20"/>
          <w:szCs w:val="20"/>
          <w:lang w:eastAsia="it-IT"/>
        </w:rPr>
      </w:pP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Appartengono a questo gruppo le alienazioni di beni patrimoniali, i trasferimenti di capitale e le riscossioni di crediti.</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Gli accertamenti  del titolo in esame rappresentano il 20,89 %  del totale delle somme accertate ed anno avuto un lieve decremento rispetto all'anno 2010 del  0,16 %. </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Sono entrate di natura straordinaria reperite senza ricorrere al mercato del credito per finanziare  spese in conto capitale programmate dall’ente,  soprattutto per la realizzazione di opere pubbliche e infrastrutture.</w:t>
      </w:r>
    </w:p>
    <w:p w:rsidR="005006AA" w:rsidRDefault="005006AA" w:rsidP="00C94484">
      <w:pPr>
        <w:spacing w:line="360" w:lineRule="auto"/>
        <w:jc w:val="both"/>
        <w:rPr>
          <w:rFonts w:cs="Arial"/>
          <w:sz w:val="24"/>
          <w:szCs w:val="24"/>
        </w:rPr>
      </w:pPr>
    </w:p>
    <w:p w:rsidR="00C94484" w:rsidRDefault="00C94484" w:rsidP="00C94484">
      <w:pPr>
        <w:spacing w:line="360" w:lineRule="auto"/>
        <w:jc w:val="both"/>
        <w:rPr>
          <w:rFonts w:cs="Arial"/>
          <w:sz w:val="24"/>
          <w:szCs w:val="24"/>
        </w:rPr>
      </w:pPr>
    </w:p>
    <w:p w:rsidR="00C94484" w:rsidRDefault="00A50F2E" w:rsidP="00C94484">
      <w:pPr>
        <w:spacing w:line="360" w:lineRule="auto"/>
        <w:jc w:val="center"/>
        <w:rPr>
          <w:rFonts w:cs="Arial"/>
          <w:sz w:val="24"/>
          <w:szCs w:val="24"/>
        </w:rPr>
      </w:pPr>
      <w:r>
        <w:rPr>
          <w:rFonts w:cs="Arial"/>
          <w:sz w:val="24"/>
          <w:szCs w:val="24"/>
        </w:rPr>
        <w:fldChar w:fldCharType="begin"/>
      </w:r>
      <w:r w:rsidR="002654F0">
        <w:rPr>
          <w:rFonts w:cs="Arial"/>
          <w:sz w:val="24"/>
          <w:szCs w:val="24"/>
        </w:rPr>
        <w:instrText xml:space="preserve"> LINK Excel.Sheet.8 "\\\\srvfs01\\Programmazione_Finanziaria_Bilancio\\AREA COMUNE RAGIONERIA\\ENTRATE RENDICONTO 2011\\TIT. IV - alienazioni_trasferimenti c_capitale_riscossione_crediti.xls!Foglio2!R4C2:R11C4" "" \a \p \* MERGEFORMAT </w:instrText>
      </w:r>
      <w:r>
        <w:rPr>
          <w:rFonts w:cs="Arial"/>
          <w:sz w:val="24"/>
          <w:szCs w:val="24"/>
        </w:rPr>
        <w:fldChar w:fldCharType="separate"/>
      </w:r>
      <w:r w:rsidRPr="00A50F2E">
        <w:rPr>
          <w:rFonts w:cs="Arial"/>
          <w:sz w:val="24"/>
          <w:szCs w:val="24"/>
        </w:rPr>
        <w:object w:dxaOrig="4320" w:dyaOrig="4320">
          <v:shape id="_x0000_i1059" type="#_x0000_t75" style="width:478.8pt;height:157.8pt">
            <v:imagedata r:id="rId45" o:title=""/>
          </v:shape>
        </w:object>
      </w:r>
      <w:r>
        <w:rPr>
          <w:rFonts w:cs="Arial"/>
          <w:sz w:val="24"/>
          <w:szCs w:val="24"/>
        </w:rPr>
        <w:fldChar w:fldCharType="end"/>
      </w:r>
    </w:p>
    <w:p w:rsidR="00C94484" w:rsidRDefault="00C94484" w:rsidP="00C94484">
      <w:pPr>
        <w:spacing w:line="360" w:lineRule="auto"/>
        <w:jc w:val="center"/>
        <w:rPr>
          <w:rFonts w:cs="Arial"/>
          <w:sz w:val="24"/>
          <w:szCs w:val="24"/>
        </w:rPr>
      </w:pPr>
    </w:p>
    <w:p w:rsidR="00C94484" w:rsidRDefault="00C94484" w:rsidP="00C94484">
      <w:pPr>
        <w:spacing w:line="360" w:lineRule="auto"/>
        <w:jc w:val="both"/>
        <w:rPr>
          <w:rFonts w:cs="Arial"/>
          <w:sz w:val="24"/>
          <w:szCs w:val="24"/>
        </w:rPr>
      </w:pPr>
    </w:p>
    <w:p w:rsidR="005006AA" w:rsidRDefault="005006AA" w:rsidP="00C94484">
      <w:pPr>
        <w:spacing w:line="360" w:lineRule="auto"/>
        <w:jc w:val="both"/>
        <w:rPr>
          <w:rFonts w:cs="Arial"/>
          <w:sz w:val="24"/>
          <w:szCs w:val="24"/>
        </w:rPr>
      </w:pPr>
    </w:p>
    <w:p w:rsidR="005006AA" w:rsidRDefault="005006AA" w:rsidP="00C94484">
      <w:pPr>
        <w:spacing w:line="360" w:lineRule="auto"/>
        <w:jc w:val="both"/>
        <w:rPr>
          <w:rFonts w:cs="Arial"/>
          <w:sz w:val="24"/>
          <w:szCs w:val="24"/>
        </w:rPr>
      </w:pPr>
    </w:p>
    <w:p w:rsidR="005006AA" w:rsidRDefault="005006AA" w:rsidP="00C94484">
      <w:pPr>
        <w:spacing w:line="360" w:lineRule="auto"/>
        <w:jc w:val="both"/>
        <w:rPr>
          <w:rFonts w:cs="Arial"/>
          <w:sz w:val="24"/>
          <w:szCs w:val="24"/>
        </w:rPr>
      </w:pPr>
    </w:p>
    <w:p w:rsidR="005006AA" w:rsidRDefault="005006AA" w:rsidP="00C94484">
      <w:pPr>
        <w:spacing w:line="360" w:lineRule="auto"/>
        <w:jc w:val="both"/>
        <w:rPr>
          <w:rFonts w:cs="Arial"/>
          <w:sz w:val="24"/>
          <w:szCs w:val="24"/>
        </w:rPr>
      </w:pPr>
    </w:p>
    <w:p w:rsidR="001626DB" w:rsidRDefault="001626DB" w:rsidP="00C94484">
      <w:pPr>
        <w:spacing w:line="360" w:lineRule="auto"/>
        <w:jc w:val="both"/>
        <w:rPr>
          <w:rFonts w:cs="Arial"/>
          <w:sz w:val="24"/>
          <w:szCs w:val="24"/>
        </w:rPr>
      </w:pPr>
    </w:p>
    <w:p w:rsidR="00C94484" w:rsidRDefault="00C94484"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tbl>
      <w:tblPr>
        <w:tblW w:w="9648" w:type="dxa"/>
        <w:tblInd w:w="65" w:type="dxa"/>
        <w:tblCellMar>
          <w:left w:w="70" w:type="dxa"/>
          <w:right w:w="70" w:type="dxa"/>
        </w:tblCellMar>
        <w:tblLook w:val="04A0"/>
      </w:tblPr>
      <w:tblGrid>
        <w:gridCol w:w="3749"/>
        <w:gridCol w:w="1075"/>
        <w:gridCol w:w="1075"/>
        <w:gridCol w:w="1075"/>
        <w:gridCol w:w="1164"/>
        <w:gridCol w:w="1164"/>
        <w:gridCol w:w="790"/>
      </w:tblGrid>
      <w:tr w:rsidR="00C94484" w:rsidRPr="00532026" w:rsidTr="00A171A0">
        <w:trPr>
          <w:trHeight w:val="412"/>
        </w:trPr>
        <w:tc>
          <w:tcPr>
            <w:tcW w:w="3749"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C94484" w:rsidRPr="00532026" w:rsidRDefault="00C94484" w:rsidP="00A171A0">
            <w:pPr>
              <w:suppressAutoHyphens w:val="0"/>
              <w:rPr>
                <w:rFonts w:ascii="Arial" w:hAnsi="Arial" w:cs="Arial"/>
                <w:b/>
                <w:bCs/>
                <w:sz w:val="16"/>
                <w:szCs w:val="16"/>
                <w:lang w:eastAsia="it-IT"/>
              </w:rPr>
            </w:pPr>
            <w:r w:rsidRPr="00532026">
              <w:rPr>
                <w:rFonts w:ascii="Arial" w:hAnsi="Arial" w:cs="Arial"/>
                <w:b/>
                <w:bCs/>
                <w:sz w:val="16"/>
                <w:szCs w:val="16"/>
                <w:lang w:eastAsia="it-IT"/>
              </w:rPr>
              <w:lastRenderedPageBreak/>
              <w:t>TITOLO 4° - entrate derivanti da alienazioni, trasferimenti c/ capitale, e riscossione di crediti</w:t>
            </w:r>
          </w:p>
        </w:tc>
        <w:tc>
          <w:tcPr>
            <w:tcW w:w="104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2007</w:t>
            </w:r>
          </w:p>
        </w:tc>
        <w:tc>
          <w:tcPr>
            <w:tcW w:w="1044"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2008</w:t>
            </w:r>
          </w:p>
        </w:tc>
        <w:tc>
          <w:tcPr>
            <w:tcW w:w="104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2009</w:t>
            </w:r>
          </w:p>
        </w:tc>
        <w:tc>
          <w:tcPr>
            <w:tcW w:w="104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2010</w:t>
            </w:r>
          </w:p>
        </w:tc>
        <w:tc>
          <w:tcPr>
            <w:tcW w:w="1045"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20011</w:t>
            </w:r>
          </w:p>
        </w:tc>
        <w:tc>
          <w:tcPr>
            <w:tcW w:w="676" w:type="dxa"/>
            <w:vMerge w:val="restart"/>
            <w:tcBorders>
              <w:top w:val="single" w:sz="4" w:space="0" w:color="auto"/>
              <w:left w:val="single" w:sz="4" w:space="0" w:color="auto"/>
              <w:bottom w:val="single" w:sz="4" w:space="0" w:color="000000"/>
              <w:right w:val="single" w:sz="4" w:space="0" w:color="auto"/>
            </w:tcBorders>
            <w:shd w:val="clear" w:color="000000" w:fill="FFFFFF"/>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 xml:space="preserve">% </w:t>
            </w:r>
            <w:proofErr w:type="spellStart"/>
            <w:r w:rsidRPr="00532026">
              <w:rPr>
                <w:rFonts w:ascii="Arial" w:hAnsi="Arial" w:cs="Arial"/>
                <w:b/>
                <w:bCs/>
                <w:sz w:val="16"/>
                <w:szCs w:val="16"/>
                <w:lang w:eastAsia="it-IT"/>
              </w:rPr>
              <w:t>scostam</w:t>
            </w:r>
            <w:proofErr w:type="spellEnd"/>
            <w:r w:rsidRPr="00532026">
              <w:rPr>
                <w:rFonts w:ascii="Arial" w:hAnsi="Arial" w:cs="Arial"/>
                <w:b/>
                <w:bCs/>
                <w:sz w:val="16"/>
                <w:szCs w:val="16"/>
                <w:lang w:eastAsia="it-IT"/>
              </w:rPr>
              <w:t xml:space="preserve"> 2011-2010</w:t>
            </w:r>
          </w:p>
        </w:tc>
      </w:tr>
      <w:tr w:rsidR="00C94484" w:rsidRPr="00532026" w:rsidTr="00A171A0">
        <w:trPr>
          <w:trHeight w:val="412"/>
        </w:trPr>
        <w:tc>
          <w:tcPr>
            <w:tcW w:w="3749"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c>
          <w:tcPr>
            <w:tcW w:w="1044"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c>
          <w:tcPr>
            <w:tcW w:w="1044"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c>
          <w:tcPr>
            <w:tcW w:w="1045"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c>
          <w:tcPr>
            <w:tcW w:w="1045"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c>
          <w:tcPr>
            <w:tcW w:w="1045"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c>
          <w:tcPr>
            <w:tcW w:w="676"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r>
      <w:tr w:rsidR="00C94484" w:rsidRPr="00532026" w:rsidTr="00A171A0">
        <w:trPr>
          <w:trHeight w:val="391"/>
        </w:trPr>
        <w:tc>
          <w:tcPr>
            <w:tcW w:w="3749" w:type="dxa"/>
            <w:vMerge/>
            <w:tcBorders>
              <w:top w:val="single" w:sz="4" w:space="0" w:color="auto"/>
              <w:left w:val="single" w:sz="4" w:space="0" w:color="auto"/>
              <w:bottom w:val="single" w:sz="4" w:space="0" w:color="000000"/>
              <w:right w:val="single" w:sz="4" w:space="0" w:color="auto"/>
            </w:tcBorders>
            <w:vAlign w:val="center"/>
            <w:hideMark/>
          </w:tcPr>
          <w:p w:rsidR="00C94484" w:rsidRPr="00532026" w:rsidRDefault="00C94484" w:rsidP="00A171A0">
            <w:pPr>
              <w:suppressAutoHyphens w:val="0"/>
              <w:rPr>
                <w:rFonts w:ascii="Arial" w:hAnsi="Arial" w:cs="Arial"/>
                <w:b/>
                <w:bCs/>
                <w:sz w:val="16"/>
                <w:szCs w:val="16"/>
                <w:lang w:eastAsia="it-IT"/>
              </w:rPr>
            </w:pPr>
          </w:p>
        </w:tc>
        <w:tc>
          <w:tcPr>
            <w:tcW w:w="1044" w:type="dxa"/>
            <w:tcBorders>
              <w:top w:val="nil"/>
              <w:left w:val="nil"/>
              <w:bottom w:val="single" w:sz="4" w:space="0" w:color="auto"/>
              <w:right w:val="single" w:sz="4" w:space="0" w:color="auto"/>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4</w:t>
            </w:r>
          </w:p>
        </w:tc>
        <w:tc>
          <w:tcPr>
            <w:tcW w:w="1044" w:type="dxa"/>
            <w:tcBorders>
              <w:top w:val="nil"/>
              <w:left w:val="nil"/>
              <w:bottom w:val="nil"/>
              <w:right w:val="nil"/>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5</w:t>
            </w:r>
          </w:p>
        </w:tc>
        <w:tc>
          <w:tcPr>
            <w:tcW w:w="1045" w:type="dxa"/>
            <w:tcBorders>
              <w:top w:val="nil"/>
              <w:left w:val="single" w:sz="8" w:space="0" w:color="auto"/>
              <w:bottom w:val="nil"/>
              <w:right w:val="nil"/>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6</w:t>
            </w:r>
          </w:p>
        </w:tc>
        <w:tc>
          <w:tcPr>
            <w:tcW w:w="1045" w:type="dxa"/>
            <w:tcBorders>
              <w:top w:val="nil"/>
              <w:left w:val="single" w:sz="8" w:space="0" w:color="auto"/>
              <w:bottom w:val="nil"/>
              <w:right w:val="nil"/>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7</w:t>
            </w:r>
          </w:p>
        </w:tc>
        <w:tc>
          <w:tcPr>
            <w:tcW w:w="1045" w:type="dxa"/>
            <w:tcBorders>
              <w:top w:val="nil"/>
              <w:left w:val="single" w:sz="8" w:space="0" w:color="auto"/>
              <w:bottom w:val="nil"/>
              <w:right w:val="nil"/>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8</w:t>
            </w:r>
          </w:p>
        </w:tc>
        <w:tc>
          <w:tcPr>
            <w:tcW w:w="676" w:type="dxa"/>
            <w:tcBorders>
              <w:top w:val="nil"/>
              <w:left w:val="single" w:sz="8" w:space="0" w:color="auto"/>
              <w:bottom w:val="nil"/>
              <w:right w:val="single" w:sz="8" w:space="0" w:color="auto"/>
            </w:tcBorders>
            <w:shd w:val="clear" w:color="000000" w:fill="FFFFFF"/>
            <w:noWrap/>
            <w:vAlign w:val="bottom"/>
            <w:hideMark/>
          </w:tcPr>
          <w:p w:rsidR="00C94484" w:rsidRPr="00532026" w:rsidRDefault="00C94484" w:rsidP="00A171A0">
            <w:pPr>
              <w:suppressAutoHyphens w:val="0"/>
              <w:jc w:val="center"/>
              <w:rPr>
                <w:rFonts w:ascii="Arial" w:hAnsi="Arial" w:cs="Arial"/>
                <w:b/>
                <w:bCs/>
                <w:sz w:val="16"/>
                <w:szCs w:val="16"/>
                <w:lang w:eastAsia="it-IT"/>
              </w:rPr>
            </w:pPr>
            <w:r w:rsidRPr="00532026">
              <w:rPr>
                <w:rFonts w:ascii="Arial" w:hAnsi="Arial" w:cs="Arial"/>
                <w:b/>
                <w:bCs/>
                <w:sz w:val="16"/>
                <w:szCs w:val="16"/>
                <w:lang w:eastAsia="it-IT"/>
              </w:rPr>
              <w:t>9</w:t>
            </w:r>
          </w:p>
        </w:tc>
      </w:tr>
      <w:tr w:rsidR="00C94484" w:rsidRPr="00532026" w:rsidTr="00A171A0">
        <w:trPr>
          <w:trHeight w:val="599"/>
        </w:trPr>
        <w:tc>
          <w:tcPr>
            <w:tcW w:w="3749" w:type="dxa"/>
            <w:tcBorders>
              <w:top w:val="nil"/>
              <w:left w:val="single" w:sz="4" w:space="0" w:color="auto"/>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both"/>
              <w:rPr>
                <w:rFonts w:ascii="Arial" w:hAnsi="Arial" w:cs="Arial"/>
                <w:sz w:val="16"/>
                <w:szCs w:val="16"/>
                <w:lang w:eastAsia="it-IT"/>
              </w:rPr>
            </w:pPr>
            <w:r w:rsidRPr="00532026">
              <w:rPr>
                <w:rFonts w:ascii="Arial" w:hAnsi="Arial" w:cs="Arial"/>
                <w:sz w:val="16"/>
                <w:szCs w:val="16"/>
                <w:lang w:eastAsia="it-IT"/>
              </w:rPr>
              <w:t xml:space="preserve">CATEGORIA  I - </w:t>
            </w:r>
            <w:proofErr w:type="spellStart"/>
            <w:r w:rsidRPr="00532026">
              <w:rPr>
                <w:rFonts w:ascii="Arial" w:hAnsi="Arial" w:cs="Arial"/>
                <w:sz w:val="16"/>
                <w:szCs w:val="16"/>
                <w:lang w:eastAsia="it-IT"/>
              </w:rPr>
              <w:t>alienaz</w:t>
            </w:r>
            <w:proofErr w:type="spellEnd"/>
            <w:r w:rsidRPr="00532026">
              <w:rPr>
                <w:rFonts w:ascii="Arial" w:hAnsi="Arial" w:cs="Arial"/>
                <w:sz w:val="16"/>
                <w:szCs w:val="16"/>
                <w:lang w:eastAsia="it-IT"/>
              </w:rPr>
              <w:t xml:space="preserve">. Beni </w:t>
            </w:r>
            <w:proofErr w:type="spellStart"/>
            <w:r w:rsidRPr="00532026">
              <w:rPr>
                <w:rFonts w:ascii="Arial" w:hAnsi="Arial" w:cs="Arial"/>
                <w:sz w:val="16"/>
                <w:szCs w:val="16"/>
                <w:lang w:eastAsia="it-IT"/>
              </w:rPr>
              <w:t>patr.li</w:t>
            </w:r>
            <w:proofErr w:type="spellEnd"/>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250.000,00 </w:t>
            </w:r>
          </w:p>
        </w:tc>
        <w:tc>
          <w:tcPr>
            <w:tcW w:w="1044" w:type="dxa"/>
            <w:tcBorders>
              <w:top w:val="single" w:sz="4" w:space="0" w:color="auto"/>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2.130,01 </w:t>
            </w:r>
          </w:p>
        </w:tc>
        <w:tc>
          <w:tcPr>
            <w:tcW w:w="1045" w:type="dxa"/>
            <w:tcBorders>
              <w:top w:val="single" w:sz="4" w:space="0" w:color="auto"/>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1.010,00 </w:t>
            </w:r>
          </w:p>
        </w:tc>
        <w:tc>
          <w:tcPr>
            <w:tcW w:w="1045" w:type="dxa"/>
            <w:tcBorders>
              <w:top w:val="single" w:sz="4" w:space="0" w:color="auto"/>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2.550,00 </w:t>
            </w:r>
          </w:p>
        </w:tc>
        <w:tc>
          <w:tcPr>
            <w:tcW w:w="1045" w:type="dxa"/>
            <w:tcBorders>
              <w:top w:val="single" w:sz="4" w:space="0" w:color="auto"/>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676" w:type="dxa"/>
            <w:tcBorders>
              <w:top w:val="single" w:sz="4" w:space="0" w:color="auto"/>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w:t>
            </w:r>
          </w:p>
        </w:tc>
      </w:tr>
      <w:tr w:rsidR="00C94484" w:rsidRPr="00532026" w:rsidTr="00A171A0">
        <w:trPr>
          <w:trHeight w:val="599"/>
        </w:trPr>
        <w:tc>
          <w:tcPr>
            <w:tcW w:w="3749" w:type="dxa"/>
            <w:tcBorders>
              <w:top w:val="nil"/>
              <w:left w:val="single" w:sz="4" w:space="0" w:color="auto"/>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both"/>
              <w:rPr>
                <w:rFonts w:ascii="Arial" w:hAnsi="Arial" w:cs="Arial"/>
                <w:sz w:val="16"/>
                <w:szCs w:val="16"/>
                <w:lang w:eastAsia="it-IT"/>
              </w:rPr>
            </w:pPr>
            <w:r w:rsidRPr="00532026">
              <w:rPr>
                <w:rFonts w:ascii="Arial" w:hAnsi="Arial" w:cs="Arial"/>
                <w:sz w:val="16"/>
                <w:szCs w:val="16"/>
                <w:lang w:eastAsia="it-IT"/>
              </w:rPr>
              <w:t>CATEGORIA  II - Trasferimenti capitale dallo stato</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382.265,49 </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78.935,60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128.937,41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328.937,41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528.937,41 </w:t>
            </w:r>
          </w:p>
        </w:tc>
        <w:tc>
          <w:tcPr>
            <w:tcW w:w="676"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60,80 </w:t>
            </w:r>
          </w:p>
        </w:tc>
      </w:tr>
      <w:tr w:rsidR="00C94484" w:rsidRPr="00532026" w:rsidTr="00A171A0">
        <w:trPr>
          <w:trHeight w:val="734"/>
        </w:trPr>
        <w:tc>
          <w:tcPr>
            <w:tcW w:w="3749" w:type="dxa"/>
            <w:tcBorders>
              <w:top w:val="nil"/>
              <w:left w:val="single" w:sz="4" w:space="0" w:color="auto"/>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both"/>
              <w:rPr>
                <w:rFonts w:ascii="Arial" w:hAnsi="Arial" w:cs="Arial"/>
                <w:sz w:val="16"/>
                <w:szCs w:val="16"/>
                <w:lang w:eastAsia="it-IT"/>
              </w:rPr>
            </w:pPr>
            <w:r w:rsidRPr="00532026">
              <w:rPr>
                <w:rFonts w:ascii="Arial" w:hAnsi="Arial" w:cs="Arial"/>
                <w:sz w:val="16"/>
                <w:szCs w:val="16"/>
                <w:lang w:eastAsia="it-IT"/>
              </w:rPr>
              <w:t>CATEGORIA III - Trasferimenti  capitale dalla Regione</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7.116.023,15 </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8.823.526,81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7.377.832,39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11.356.546,96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11.141.000,00 </w:t>
            </w:r>
          </w:p>
        </w:tc>
        <w:tc>
          <w:tcPr>
            <w:tcW w:w="676"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Pr>
                <w:rFonts w:ascii="Arial" w:hAnsi="Arial" w:cs="Arial"/>
                <w:sz w:val="16"/>
                <w:szCs w:val="16"/>
                <w:lang w:eastAsia="it-IT"/>
              </w:rPr>
              <w:t xml:space="preserve">     </w:t>
            </w:r>
            <w:r w:rsidRPr="00532026">
              <w:rPr>
                <w:rFonts w:ascii="Arial" w:hAnsi="Arial" w:cs="Arial"/>
                <w:sz w:val="16"/>
                <w:szCs w:val="16"/>
                <w:lang w:eastAsia="it-IT"/>
              </w:rPr>
              <w:t xml:space="preserve"> </w:t>
            </w:r>
            <w:r>
              <w:rPr>
                <w:rFonts w:ascii="Arial" w:hAnsi="Arial" w:cs="Arial"/>
                <w:sz w:val="16"/>
                <w:szCs w:val="16"/>
                <w:lang w:eastAsia="it-IT"/>
              </w:rPr>
              <w:t>-</w:t>
            </w:r>
            <w:r w:rsidRPr="00532026">
              <w:rPr>
                <w:rFonts w:ascii="Arial" w:hAnsi="Arial" w:cs="Arial"/>
                <w:sz w:val="16"/>
                <w:szCs w:val="16"/>
                <w:lang w:eastAsia="it-IT"/>
              </w:rPr>
              <w:t xml:space="preserve">1,90 </w:t>
            </w:r>
          </w:p>
        </w:tc>
      </w:tr>
      <w:tr w:rsidR="00C94484" w:rsidRPr="00532026" w:rsidTr="00A171A0">
        <w:trPr>
          <w:trHeight w:val="689"/>
        </w:trPr>
        <w:tc>
          <w:tcPr>
            <w:tcW w:w="3749" w:type="dxa"/>
            <w:tcBorders>
              <w:top w:val="nil"/>
              <w:left w:val="single" w:sz="4" w:space="0" w:color="auto"/>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both"/>
              <w:rPr>
                <w:rFonts w:ascii="Arial" w:hAnsi="Arial" w:cs="Arial"/>
                <w:sz w:val="16"/>
                <w:szCs w:val="16"/>
                <w:lang w:eastAsia="it-IT"/>
              </w:rPr>
            </w:pPr>
            <w:r w:rsidRPr="00532026">
              <w:rPr>
                <w:rFonts w:ascii="Arial" w:hAnsi="Arial" w:cs="Arial"/>
                <w:sz w:val="16"/>
                <w:szCs w:val="16"/>
                <w:lang w:eastAsia="it-IT"/>
              </w:rPr>
              <w:t>CATEGORIA IV - Trasferimenti da altri enti del sett. Pubblico</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50.000,00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676"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w:t>
            </w:r>
          </w:p>
        </w:tc>
      </w:tr>
      <w:tr w:rsidR="00C94484" w:rsidRPr="00532026" w:rsidTr="00A171A0">
        <w:trPr>
          <w:trHeight w:val="599"/>
        </w:trPr>
        <w:tc>
          <w:tcPr>
            <w:tcW w:w="3749" w:type="dxa"/>
            <w:tcBorders>
              <w:top w:val="nil"/>
              <w:left w:val="single" w:sz="4" w:space="0" w:color="auto"/>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both"/>
              <w:rPr>
                <w:rFonts w:ascii="Arial" w:hAnsi="Arial" w:cs="Arial"/>
                <w:sz w:val="16"/>
                <w:szCs w:val="16"/>
                <w:lang w:eastAsia="it-IT"/>
              </w:rPr>
            </w:pPr>
            <w:r w:rsidRPr="00532026">
              <w:rPr>
                <w:rFonts w:ascii="Arial" w:hAnsi="Arial" w:cs="Arial"/>
                <w:sz w:val="16"/>
                <w:szCs w:val="16"/>
                <w:lang w:eastAsia="it-IT"/>
              </w:rPr>
              <w:t>CATEGORIA V - Trasferimenti di capitale da altri soggetti</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33.925,46 </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26.637,03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676"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w:t>
            </w:r>
          </w:p>
        </w:tc>
      </w:tr>
      <w:tr w:rsidR="00C94484" w:rsidRPr="00532026" w:rsidTr="00A171A0">
        <w:trPr>
          <w:trHeight w:val="599"/>
        </w:trPr>
        <w:tc>
          <w:tcPr>
            <w:tcW w:w="3749" w:type="dxa"/>
            <w:tcBorders>
              <w:top w:val="nil"/>
              <w:left w:val="single" w:sz="4" w:space="0" w:color="auto"/>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both"/>
              <w:rPr>
                <w:rFonts w:ascii="Arial" w:hAnsi="Arial" w:cs="Arial"/>
                <w:sz w:val="16"/>
                <w:szCs w:val="16"/>
                <w:lang w:eastAsia="it-IT"/>
              </w:rPr>
            </w:pPr>
            <w:r w:rsidRPr="00532026">
              <w:rPr>
                <w:rFonts w:ascii="Arial" w:hAnsi="Arial" w:cs="Arial"/>
                <w:sz w:val="16"/>
                <w:szCs w:val="16"/>
                <w:lang w:eastAsia="it-IT"/>
              </w:rPr>
              <w:t xml:space="preserve">CATEGORIA </w:t>
            </w:r>
            <w:proofErr w:type="spellStart"/>
            <w:r w:rsidRPr="00532026">
              <w:rPr>
                <w:rFonts w:ascii="Arial" w:hAnsi="Arial" w:cs="Arial"/>
                <w:sz w:val="16"/>
                <w:szCs w:val="16"/>
                <w:lang w:eastAsia="it-IT"/>
              </w:rPr>
              <w:t>VI</w:t>
            </w:r>
            <w:proofErr w:type="spellEnd"/>
            <w:r w:rsidRPr="00532026">
              <w:rPr>
                <w:rFonts w:ascii="Arial" w:hAnsi="Arial" w:cs="Arial"/>
                <w:sz w:val="16"/>
                <w:szCs w:val="16"/>
                <w:lang w:eastAsia="it-IT"/>
              </w:rPr>
              <w:t xml:space="preserve"> - riscossione di crediti </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1.100.000,00 </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380.937,66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xml:space="preserve">                     -   </w:t>
            </w:r>
          </w:p>
        </w:tc>
        <w:tc>
          <w:tcPr>
            <w:tcW w:w="676"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sidRPr="00532026">
              <w:rPr>
                <w:rFonts w:ascii="Arial" w:hAnsi="Arial" w:cs="Arial"/>
                <w:sz w:val="16"/>
                <w:szCs w:val="16"/>
                <w:lang w:eastAsia="it-IT"/>
              </w:rPr>
              <w:t> </w:t>
            </w:r>
          </w:p>
        </w:tc>
      </w:tr>
      <w:tr w:rsidR="00C94484" w:rsidRPr="00532026" w:rsidTr="00A171A0">
        <w:trPr>
          <w:trHeight w:val="526"/>
        </w:trPr>
        <w:tc>
          <w:tcPr>
            <w:tcW w:w="3749" w:type="dxa"/>
            <w:tcBorders>
              <w:top w:val="nil"/>
              <w:left w:val="single" w:sz="4" w:space="0" w:color="auto"/>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both"/>
              <w:rPr>
                <w:rFonts w:ascii="Arial" w:hAnsi="Arial" w:cs="Arial"/>
                <w:sz w:val="16"/>
                <w:szCs w:val="16"/>
                <w:lang w:eastAsia="it-IT"/>
              </w:rPr>
            </w:pPr>
            <w:r w:rsidRPr="00532026">
              <w:rPr>
                <w:rFonts w:ascii="Arial" w:hAnsi="Arial" w:cs="Arial"/>
                <w:sz w:val="16"/>
                <w:szCs w:val="16"/>
                <w:lang w:eastAsia="it-IT"/>
              </w:rPr>
              <w:t>TOTALE</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rPr>
                <w:rFonts w:ascii="Arial" w:hAnsi="Arial" w:cs="Arial"/>
                <w:sz w:val="16"/>
                <w:szCs w:val="16"/>
                <w:lang w:eastAsia="it-IT"/>
              </w:rPr>
            </w:pPr>
            <w:r w:rsidRPr="00532026">
              <w:rPr>
                <w:rFonts w:ascii="Arial" w:hAnsi="Arial" w:cs="Arial"/>
                <w:sz w:val="16"/>
                <w:szCs w:val="16"/>
                <w:lang w:eastAsia="it-IT"/>
              </w:rPr>
              <w:t xml:space="preserve">   8.882.218,10 </w:t>
            </w:r>
          </w:p>
        </w:tc>
        <w:tc>
          <w:tcPr>
            <w:tcW w:w="1044"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rPr>
                <w:rFonts w:ascii="Arial" w:hAnsi="Arial" w:cs="Arial"/>
                <w:sz w:val="16"/>
                <w:szCs w:val="16"/>
                <w:lang w:eastAsia="it-IT"/>
              </w:rPr>
            </w:pPr>
            <w:r w:rsidRPr="00532026">
              <w:rPr>
                <w:rFonts w:ascii="Arial" w:hAnsi="Arial" w:cs="Arial"/>
                <w:sz w:val="16"/>
                <w:szCs w:val="16"/>
                <w:lang w:eastAsia="it-IT"/>
              </w:rPr>
              <w:t xml:space="preserve">   9.362.172,11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rPr>
                <w:rFonts w:ascii="Arial" w:hAnsi="Arial" w:cs="Arial"/>
                <w:sz w:val="16"/>
                <w:szCs w:val="16"/>
                <w:lang w:eastAsia="it-IT"/>
              </w:rPr>
            </w:pPr>
            <w:r w:rsidRPr="00532026">
              <w:rPr>
                <w:rFonts w:ascii="Arial" w:hAnsi="Arial" w:cs="Arial"/>
                <w:sz w:val="16"/>
                <w:szCs w:val="16"/>
                <w:lang w:eastAsia="it-IT"/>
              </w:rPr>
              <w:t xml:space="preserve">   7.507.779,80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rPr>
                <w:rFonts w:ascii="Arial" w:hAnsi="Arial" w:cs="Arial"/>
                <w:sz w:val="16"/>
                <w:szCs w:val="16"/>
                <w:lang w:eastAsia="it-IT"/>
              </w:rPr>
            </w:pPr>
            <w:r w:rsidRPr="00532026">
              <w:rPr>
                <w:rFonts w:ascii="Arial" w:hAnsi="Arial" w:cs="Arial"/>
                <w:sz w:val="16"/>
                <w:szCs w:val="16"/>
                <w:lang w:eastAsia="it-IT"/>
              </w:rPr>
              <w:t xml:space="preserve"> 11.688.034,37 </w:t>
            </w:r>
          </w:p>
        </w:tc>
        <w:tc>
          <w:tcPr>
            <w:tcW w:w="1045"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rPr>
                <w:rFonts w:ascii="Arial" w:hAnsi="Arial" w:cs="Arial"/>
                <w:sz w:val="16"/>
                <w:szCs w:val="16"/>
                <w:lang w:eastAsia="it-IT"/>
              </w:rPr>
            </w:pPr>
            <w:r w:rsidRPr="00532026">
              <w:rPr>
                <w:rFonts w:ascii="Arial" w:hAnsi="Arial" w:cs="Arial"/>
                <w:sz w:val="16"/>
                <w:szCs w:val="16"/>
                <w:lang w:eastAsia="it-IT"/>
              </w:rPr>
              <w:t xml:space="preserve"> 11.669.937,41 </w:t>
            </w:r>
          </w:p>
        </w:tc>
        <w:tc>
          <w:tcPr>
            <w:tcW w:w="676" w:type="dxa"/>
            <w:tcBorders>
              <w:top w:val="nil"/>
              <w:left w:val="nil"/>
              <w:bottom w:val="single" w:sz="4" w:space="0" w:color="auto"/>
              <w:right w:val="single" w:sz="4" w:space="0" w:color="auto"/>
            </w:tcBorders>
            <w:shd w:val="clear" w:color="auto" w:fill="auto"/>
            <w:noWrap/>
            <w:vAlign w:val="bottom"/>
            <w:hideMark/>
          </w:tcPr>
          <w:p w:rsidR="00C94484" w:rsidRPr="00532026" w:rsidRDefault="00C94484" w:rsidP="00A171A0">
            <w:pPr>
              <w:suppressAutoHyphens w:val="0"/>
              <w:jc w:val="right"/>
              <w:rPr>
                <w:rFonts w:ascii="Arial" w:hAnsi="Arial" w:cs="Arial"/>
                <w:sz w:val="16"/>
                <w:szCs w:val="16"/>
                <w:lang w:eastAsia="it-IT"/>
              </w:rPr>
            </w:pPr>
            <w:r>
              <w:rPr>
                <w:rFonts w:ascii="Arial" w:hAnsi="Arial" w:cs="Arial"/>
                <w:sz w:val="16"/>
                <w:szCs w:val="16"/>
                <w:lang w:eastAsia="it-IT"/>
              </w:rPr>
              <w:t xml:space="preserve">- </w:t>
            </w:r>
            <w:r w:rsidRPr="00532026">
              <w:rPr>
                <w:rFonts w:ascii="Arial" w:hAnsi="Arial" w:cs="Arial"/>
                <w:sz w:val="16"/>
                <w:szCs w:val="16"/>
                <w:lang w:eastAsia="it-IT"/>
              </w:rPr>
              <w:t xml:space="preserve">0,16 </w:t>
            </w:r>
          </w:p>
        </w:tc>
      </w:tr>
    </w:tbl>
    <w:p w:rsidR="00C94484" w:rsidRDefault="00C94484" w:rsidP="00C94484">
      <w:pPr>
        <w:spacing w:line="360" w:lineRule="auto"/>
        <w:jc w:val="both"/>
        <w:rPr>
          <w:rFonts w:cs="Arial"/>
          <w:sz w:val="24"/>
          <w:szCs w:val="24"/>
        </w:rPr>
      </w:pPr>
    </w:p>
    <w:p w:rsidR="00C94484" w:rsidRDefault="00C94484" w:rsidP="00C94484">
      <w:pPr>
        <w:spacing w:line="360" w:lineRule="auto"/>
        <w:jc w:val="both"/>
        <w:rPr>
          <w:rFonts w:cs="Arial"/>
          <w:sz w:val="24"/>
          <w:szCs w:val="24"/>
        </w:rPr>
      </w:pP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L’analisi mostra come l’Ente si avvalga in massima parte di trasferimenti concessi dalla Regione Autonoma della Sardegna per finanziare i propri investimenti, infatti su un totale di € 11.669.937,41 di accertamenti del Titolo IV, l’incidenza dei trasferimenti di capitale dalla Regione rappresenta il 95,47.</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Tra i trasferimenti in conto capitale provenienti dallo Stato, oltre ai trasferimenti erariali in materia di protezione civile, c'e da segnalare il finanziamento di € 500.000,00 per la realizzazione del  progetto </w:t>
      </w:r>
      <w:proofErr w:type="spellStart"/>
      <w:r w:rsidRPr="008F6D4A">
        <w:rPr>
          <w:rFonts w:ascii="Andalus" w:hAnsi="Andalus" w:cs="Andalus"/>
          <w:sz w:val="20"/>
          <w:szCs w:val="20"/>
          <w:lang w:eastAsia="it-IT"/>
        </w:rPr>
        <w:t>Phoinix</w:t>
      </w:r>
      <w:proofErr w:type="spellEnd"/>
      <w:r w:rsidRPr="008F6D4A">
        <w:rPr>
          <w:rFonts w:ascii="Andalus" w:hAnsi="Andalus" w:cs="Andalus"/>
          <w:sz w:val="20"/>
          <w:szCs w:val="20"/>
          <w:lang w:eastAsia="it-IT"/>
        </w:rPr>
        <w:t xml:space="preserve"> - Il parco archeologico dei fenici.</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I trasferimenti di capitale della Regione riguardano il finanziamento per la bonifica da amianto di immobili di proprietà privata, i finanziamenti per il ripristino ambientale e valorizzazione degli stagni di Cabras, di San Giovanni </w:t>
      </w:r>
      <w:proofErr w:type="spellStart"/>
      <w:r w:rsidRPr="008F6D4A">
        <w:rPr>
          <w:rFonts w:ascii="Andalus" w:hAnsi="Andalus" w:cs="Andalus"/>
          <w:sz w:val="20"/>
          <w:szCs w:val="20"/>
          <w:lang w:eastAsia="it-IT"/>
        </w:rPr>
        <w:t>Marceddì</w:t>
      </w:r>
      <w:proofErr w:type="spellEnd"/>
      <w:r w:rsidRPr="008F6D4A">
        <w:rPr>
          <w:rFonts w:ascii="Andalus" w:hAnsi="Andalus" w:cs="Andalus"/>
          <w:sz w:val="20"/>
          <w:szCs w:val="20"/>
          <w:lang w:eastAsia="it-IT"/>
        </w:rPr>
        <w:t xml:space="preserve">, di Santa Giusta, di </w:t>
      </w:r>
      <w:proofErr w:type="spellStart"/>
      <w:r w:rsidRPr="008F6D4A">
        <w:rPr>
          <w:rFonts w:ascii="Andalus" w:hAnsi="Andalus" w:cs="Andalus"/>
          <w:sz w:val="20"/>
          <w:szCs w:val="20"/>
          <w:lang w:eastAsia="it-IT"/>
        </w:rPr>
        <w:t>Corru</w:t>
      </w:r>
      <w:proofErr w:type="spellEnd"/>
      <w:r w:rsidRPr="008F6D4A">
        <w:rPr>
          <w:rFonts w:ascii="Andalus" w:hAnsi="Andalus" w:cs="Andalus"/>
          <w:sz w:val="20"/>
          <w:szCs w:val="20"/>
          <w:lang w:eastAsia="it-IT"/>
        </w:rPr>
        <w:t xml:space="preserve"> S'</w:t>
      </w:r>
      <w:proofErr w:type="spellStart"/>
      <w:r w:rsidRPr="008F6D4A">
        <w:rPr>
          <w:rFonts w:ascii="Andalus" w:hAnsi="Andalus" w:cs="Andalus"/>
          <w:sz w:val="20"/>
          <w:szCs w:val="20"/>
          <w:lang w:eastAsia="it-IT"/>
        </w:rPr>
        <w:t>Ittiri</w:t>
      </w:r>
      <w:proofErr w:type="spellEnd"/>
      <w:r w:rsidRPr="008F6D4A">
        <w:rPr>
          <w:rFonts w:ascii="Andalus" w:hAnsi="Andalus" w:cs="Andalus"/>
          <w:sz w:val="20"/>
          <w:szCs w:val="20"/>
          <w:lang w:eastAsia="it-IT"/>
        </w:rPr>
        <w:t xml:space="preserve"> e per la bonifica di Mar'e Foghe, per i finanziamenti per la riqualificazione di diversi istituti scolastici provinciali e per i lavori di messa in sicurezza tratto bivio </w:t>
      </w:r>
      <w:proofErr w:type="spellStart"/>
      <w:r w:rsidRPr="008F6D4A">
        <w:rPr>
          <w:rFonts w:ascii="Andalus" w:hAnsi="Andalus" w:cs="Andalus"/>
          <w:sz w:val="20"/>
          <w:szCs w:val="20"/>
          <w:lang w:eastAsia="it-IT"/>
        </w:rPr>
        <w:t>Mogoro</w:t>
      </w:r>
      <w:proofErr w:type="spellEnd"/>
      <w:r w:rsidRPr="008F6D4A">
        <w:rPr>
          <w:rFonts w:ascii="Andalus" w:hAnsi="Andalus" w:cs="Andalus"/>
          <w:sz w:val="20"/>
          <w:szCs w:val="20"/>
          <w:lang w:eastAsia="it-IT"/>
        </w:rPr>
        <w:t xml:space="preserve"> S.S. 131 - S.P. 44.</w:t>
      </w:r>
    </w:p>
    <w:p w:rsidR="00C94484" w:rsidRPr="008F6D4A" w:rsidRDefault="00C94484" w:rsidP="00C94484">
      <w:pPr>
        <w:spacing w:line="360" w:lineRule="auto"/>
        <w:jc w:val="both"/>
        <w:rPr>
          <w:rFonts w:ascii="Andalus" w:hAnsi="Andalus" w:cs="Andalus"/>
          <w:sz w:val="20"/>
          <w:szCs w:val="20"/>
          <w:lang w:eastAsia="it-IT"/>
        </w:rPr>
      </w:pPr>
    </w:p>
    <w:p w:rsidR="00C94484" w:rsidRDefault="00A50F2E" w:rsidP="00C94484">
      <w:pPr>
        <w:spacing w:line="360" w:lineRule="auto"/>
        <w:jc w:val="center"/>
        <w:rPr>
          <w:rFonts w:cs="Arial"/>
          <w:sz w:val="24"/>
          <w:szCs w:val="24"/>
        </w:rPr>
      </w:pPr>
      <w:r>
        <w:rPr>
          <w:rFonts w:cs="Arial"/>
          <w:sz w:val="24"/>
          <w:szCs w:val="24"/>
        </w:rPr>
        <w:lastRenderedPageBreak/>
        <w:fldChar w:fldCharType="begin"/>
      </w:r>
      <w:r w:rsidR="002654F0">
        <w:rPr>
          <w:rFonts w:cs="Arial"/>
          <w:sz w:val="24"/>
          <w:szCs w:val="24"/>
        </w:rPr>
        <w:instrText xml:space="preserve"> LINK Excel.Sheet.8 "" "" \a \p \* MERGEFORMAT </w:instrText>
      </w:r>
      <w:r>
        <w:rPr>
          <w:rFonts w:cs="Arial"/>
          <w:sz w:val="24"/>
          <w:szCs w:val="24"/>
        </w:rPr>
        <w:fldChar w:fldCharType="separate"/>
      </w:r>
      <w:r w:rsidRPr="00A50F2E">
        <w:rPr>
          <w:rFonts w:cs="Arial"/>
          <w:sz w:val="24"/>
          <w:szCs w:val="24"/>
        </w:rPr>
        <w:object w:dxaOrig="4320" w:dyaOrig="4320">
          <v:shape id="_x0000_i1060" type="#_x0000_t75" style="width:7in;height:224.4pt">
            <v:imagedata r:id="rId46" o:title=""/>
          </v:shape>
        </w:object>
      </w:r>
      <w:r>
        <w:rPr>
          <w:rFonts w:cs="Arial"/>
          <w:sz w:val="24"/>
          <w:szCs w:val="24"/>
        </w:rPr>
        <w:fldChar w:fldCharType="end"/>
      </w:r>
    </w:p>
    <w:p w:rsidR="00C94484" w:rsidRDefault="00C94484"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D63EAB" w:rsidRDefault="00D63EAB" w:rsidP="00C94484">
      <w:pPr>
        <w:spacing w:line="360" w:lineRule="auto"/>
        <w:jc w:val="both"/>
        <w:rPr>
          <w:rFonts w:cs="Arial"/>
          <w:sz w:val="24"/>
          <w:szCs w:val="24"/>
        </w:rPr>
      </w:pPr>
    </w:p>
    <w:p w:rsidR="00C94484" w:rsidRDefault="00C94484" w:rsidP="00C94484">
      <w:pPr>
        <w:spacing w:line="360" w:lineRule="auto"/>
        <w:jc w:val="both"/>
        <w:rPr>
          <w:rFonts w:cs="Arial"/>
          <w:sz w:val="24"/>
          <w:szCs w:val="24"/>
        </w:rPr>
      </w:pPr>
    </w:p>
    <w:p w:rsidR="00C94484" w:rsidRDefault="00C94484" w:rsidP="00C94484">
      <w:pPr>
        <w:spacing w:line="360" w:lineRule="auto"/>
        <w:jc w:val="center"/>
        <w:rPr>
          <w:rFonts w:cs="Arial"/>
          <w:sz w:val="24"/>
          <w:szCs w:val="24"/>
        </w:rPr>
      </w:pPr>
      <w:r>
        <w:rPr>
          <w:rFonts w:cs="Arial"/>
          <w:sz w:val="24"/>
          <w:szCs w:val="24"/>
        </w:rPr>
        <w:t>TITOLO 5°</w:t>
      </w:r>
    </w:p>
    <w:p w:rsidR="00C94484" w:rsidRPr="008F6D4A" w:rsidRDefault="00C94484" w:rsidP="008F6D4A">
      <w:pPr>
        <w:spacing w:line="360" w:lineRule="auto"/>
        <w:jc w:val="both"/>
        <w:rPr>
          <w:rFonts w:ascii="Andalus" w:hAnsi="Andalus" w:cs="Andalus"/>
          <w:sz w:val="20"/>
          <w:szCs w:val="20"/>
          <w:lang w:eastAsia="it-IT"/>
        </w:rPr>
      </w:pPr>
      <w:r>
        <w:rPr>
          <w:rFonts w:cs="Arial"/>
          <w:sz w:val="24"/>
          <w:szCs w:val="24"/>
        </w:rPr>
        <w:t xml:space="preserve"> </w:t>
      </w:r>
      <w:r w:rsidRPr="008F6D4A">
        <w:rPr>
          <w:rFonts w:ascii="Andalus" w:hAnsi="Andalus" w:cs="Andalus"/>
          <w:sz w:val="20"/>
          <w:szCs w:val="20"/>
          <w:lang w:eastAsia="it-IT"/>
        </w:rPr>
        <w:t xml:space="preserve">ENTRATE DERIVANTI DA ACCENSIONE </w:t>
      </w:r>
      <w:proofErr w:type="spellStart"/>
      <w:r w:rsidRPr="008F6D4A">
        <w:rPr>
          <w:rFonts w:ascii="Andalus" w:hAnsi="Andalus" w:cs="Andalus"/>
          <w:sz w:val="20"/>
          <w:szCs w:val="20"/>
          <w:lang w:eastAsia="it-IT"/>
        </w:rPr>
        <w:t>DI</w:t>
      </w:r>
      <w:proofErr w:type="spellEnd"/>
      <w:r w:rsidRPr="008F6D4A">
        <w:rPr>
          <w:rFonts w:ascii="Andalus" w:hAnsi="Andalus" w:cs="Andalus"/>
          <w:sz w:val="20"/>
          <w:szCs w:val="20"/>
          <w:lang w:eastAsia="it-IT"/>
        </w:rPr>
        <w:t xml:space="preserve"> PRESTITI</w:t>
      </w:r>
    </w:p>
    <w:p w:rsidR="00EE2CA4" w:rsidRPr="008F6D4A" w:rsidRDefault="00EE2CA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La tabella seguente evidenzia che nel corso dell'ultimo triennio non sono state effettuate anticipazioni di cassa, ne operazioni di finanziamenti, mutui e prestiti obbligazionari</w:t>
      </w:r>
    </w:p>
    <w:p w:rsidR="00EE2CA4" w:rsidRPr="008F6D4A" w:rsidRDefault="00EE2CA4" w:rsidP="008F6D4A">
      <w:pPr>
        <w:spacing w:line="360" w:lineRule="auto"/>
        <w:jc w:val="both"/>
        <w:rPr>
          <w:rFonts w:ascii="Andalus" w:hAnsi="Andalus" w:cs="Andalus"/>
          <w:sz w:val="20"/>
          <w:szCs w:val="20"/>
          <w:lang w:eastAsia="it-IT"/>
        </w:rPr>
      </w:pPr>
    </w:p>
    <w:tbl>
      <w:tblPr>
        <w:tblW w:w="10065" w:type="dxa"/>
        <w:tblLayout w:type="fixed"/>
        <w:tblCellMar>
          <w:left w:w="0" w:type="dxa"/>
          <w:right w:w="0" w:type="dxa"/>
        </w:tblCellMar>
        <w:tblLook w:val="0000"/>
      </w:tblPr>
      <w:tblGrid>
        <w:gridCol w:w="10065"/>
      </w:tblGrid>
      <w:tr w:rsidR="000B1289" w:rsidTr="000B1289">
        <w:trPr>
          <w:trHeight w:val="399"/>
        </w:trPr>
        <w:tc>
          <w:tcPr>
            <w:tcW w:w="10065" w:type="dxa"/>
            <w:shd w:val="clear" w:color="auto" w:fill="auto"/>
            <w:vAlign w:val="bottom"/>
          </w:tcPr>
          <w:p w:rsidR="000B1289" w:rsidRDefault="00A50F2E" w:rsidP="00A171A0">
            <w:pPr>
              <w:snapToGrid w:val="0"/>
              <w:jc w:val="center"/>
              <w:rPr>
                <w:rFonts w:cs="Arial"/>
                <w:sz w:val="24"/>
                <w:szCs w:val="24"/>
              </w:rPr>
            </w:pPr>
            <w:r>
              <w:rPr>
                <w:rFonts w:cs="Arial"/>
                <w:sz w:val="24"/>
                <w:szCs w:val="24"/>
              </w:rPr>
              <w:fldChar w:fldCharType="begin"/>
            </w:r>
            <w:r w:rsidR="002654F0">
              <w:rPr>
                <w:rFonts w:cs="Arial"/>
                <w:sz w:val="24"/>
                <w:szCs w:val="24"/>
              </w:rPr>
              <w:instrText xml:space="preserve"> LINK Excel.Sheet.8 "\\\\srvfs01\\Programmazione_Finanziaria_Bilancio\\AREA COMUNE RAGIONERIA\\Grazia Loi\\Grafici Titolo V.xlsx!Foglio1!R4C1:R10C4" "" \a \p </w:instrText>
            </w:r>
            <w:r>
              <w:rPr>
                <w:rFonts w:cs="Arial"/>
                <w:sz w:val="24"/>
                <w:szCs w:val="24"/>
              </w:rPr>
              <w:fldChar w:fldCharType="separate"/>
            </w:r>
            <w:r w:rsidR="006D5FA4" w:rsidRPr="00A50F2E">
              <w:rPr>
                <w:rFonts w:cs="Arial"/>
                <w:sz w:val="24"/>
                <w:szCs w:val="24"/>
              </w:rPr>
              <w:object w:dxaOrig="14515" w:dyaOrig="4916">
                <v:shape id="_x0000_i1061" type="#_x0000_t75" style="width:454.8pt;height:148.8pt" o:bordertopcolor="this">
                  <v:imagedata r:id="rId47" o:title=""/>
                  <w10:bordertop type="single" width="4"/>
                </v:shape>
              </w:object>
            </w:r>
            <w:r>
              <w:rPr>
                <w:rFonts w:cs="Arial"/>
                <w:sz w:val="24"/>
                <w:szCs w:val="24"/>
              </w:rPr>
              <w:fldChar w:fldCharType="end"/>
            </w:r>
          </w:p>
          <w:p w:rsidR="000B1289" w:rsidRDefault="000B1289" w:rsidP="00A171A0">
            <w:pPr>
              <w:snapToGrid w:val="0"/>
              <w:jc w:val="center"/>
              <w:rPr>
                <w:rFonts w:cs="Arial"/>
                <w:sz w:val="24"/>
                <w:szCs w:val="24"/>
              </w:rPr>
            </w:pPr>
          </w:p>
        </w:tc>
      </w:tr>
    </w:tbl>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TITOLO 6° - ENTRATE DA SERVIZI PER CONTO TERZI</w:t>
      </w:r>
    </w:p>
    <w:p w:rsidR="00C94484" w:rsidRPr="008F6D4A" w:rsidRDefault="00C94484" w:rsidP="008F6D4A">
      <w:pPr>
        <w:spacing w:line="360" w:lineRule="auto"/>
        <w:jc w:val="both"/>
        <w:rPr>
          <w:rFonts w:ascii="Andalus" w:hAnsi="Andalus" w:cs="Andalus"/>
          <w:sz w:val="20"/>
          <w:szCs w:val="20"/>
          <w:lang w:eastAsia="it-IT"/>
        </w:rPr>
      </w:pP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Le entrate del Titolo </w:t>
      </w:r>
      <w:proofErr w:type="spellStart"/>
      <w:r w:rsidRPr="008F6D4A">
        <w:rPr>
          <w:rFonts w:ascii="Andalus" w:hAnsi="Andalus" w:cs="Andalus"/>
          <w:sz w:val="20"/>
          <w:szCs w:val="20"/>
          <w:lang w:eastAsia="it-IT"/>
        </w:rPr>
        <w:t>VI</w:t>
      </w:r>
      <w:proofErr w:type="spellEnd"/>
      <w:r w:rsidRPr="008F6D4A">
        <w:rPr>
          <w:rFonts w:ascii="Andalus" w:hAnsi="Andalus" w:cs="Andalus"/>
          <w:sz w:val="20"/>
          <w:szCs w:val="20"/>
          <w:lang w:eastAsia="it-IT"/>
        </w:rPr>
        <w:t xml:space="preserve"> sono quelle derivanti da operazioni  per conto terzi quali: le ritenute previdenziali e assistenziali per il personale, le ritenute erariali, i depositi cauzionali ecc., </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Le variazioni rispetto agli stanziamenti iniziali del titolo in questione non hanno influenza sull'esito della gestione trattandosi di poste che trovano corrispondenza nel Titolo IV della spesa.</w:t>
      </w: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Gli accertamenti registrati nell’anno 2011 ammontano a complessivi  €  </w:t>
      </w:r>
      <w:r w:rsidR="00523B0C" w:rsidRPr="008F6D4A">
        <w:rPr>
          <w:rFonts w:ascii="Andalus" w:hAnsi="Andalus" w:cs="Andalus"/>
          <w:sz w:val="20"/>
          <w:szCs w:val="20"/>
          <w:lang w:eastAsia="it-IT"/>
        </w:rPr>
        <w:t>4.028.765,51</w:t>
      </w:r>
      <w:r w:rsidRPr="008F6D4A">
        <w:rPr>
          <w:rFonts w:ascii="Andalus" w:hAnsi="Andalus" w:cs="Andalus"/>
          <w:sz w:val="20"/>
          <w:szCs w:val="20"/>
          <w:lang w:eastAsia="it-IT"/>
        </w:rPr>
        <w:t xml:space="preserve">, le riscossioni  a </w:t>
      </w:r>
      <w:r w:rsidR="00523B0C" w:rsidRPr="008F6D4A">
        <w:rPr>
          <w:rFonts w:ascii="Andalus" w:hAnsi="Andalus" w:cs="Andalus"/>
          <w:sz w:val="20"/>
          <w:szCs w:val="20"/>
          <w:lang w:eastAsia="it-IT"/>
        </w:rPr>
        <w:t>4.028.765,51</w:t>
      </w:r>
      <w:r w:rsidRPr="008F6D4A">
        <w:rPr>
          <w:rFonts w:ascii="Andalus" w:hAnsi="Andalus" w:cs="Andalus"/>
          <w:sz w:val="20"/>
          <w:szCs w:val="20"/>
          <w:lang w:eastAsia="it-IT"/>
        </w:rPr>
        <w:t>.</w:t>
      </w:r>
    </w:p>
    <w:p w:rsidR="005A2598" w:rsidRPr="008F6D4A" w:rsidRDefault="005A2598" w:rsidP="008F6D4A">
      <w:pPr>
        <w:spacing w:line="360" w:lineRule="auto"/>
        <w:jc w:val="both"/>
        <w:rPr>
          <w:rFonts w:ascii="Andalus" w:hAnsi="Andalus" w:cs="Andalus"/>
          <w:sz w:val="20"/>
          <w:szCs w:val="20"/>
          <w:lang w:eastAsia="it-IT"/>
        </w:rPr>
      </w:pPr>
    </w:p>
    <w:p w:rsidR="00865C99" w:rsidRDefault="00865C99" w:rsidP="00C94484">
      <w:pPr>
        <w:tabs>
          <w:tab w:val="left" w:pos="142"/>
        </w:tabs>
        <w:rPr>
          <w:rFonts w:cs="Arial"/>
          <w:sz w:val="24"/>
          <w:szCs w:val="24"/>
          <w:shd w:val="clear" w:color="auto" w:fill="C0C0C0"/>
        </w:rPr>
      </w:pPr>
    </w:p>
    <w:p w:rsidR="00865C99" w:rsidRDefault="00865C99" w:rsidP="00C94484">
      <w:pPr>
        <w:tabs>
          <w:tab w:val="left" w:pos="142"/>
        </w:tabs>
        <w:rPr>
          <w:rFonts w:cs="Arial"/>
          <w:sz w:val="24"/>
          <w:szCs w:val="24"/>
          <w:shd w:val="clear" w:color="auto" w:fill="C0C0C0"/>
        </w:rPr>
      </w:pPr>
    </w:p>
    <w:p w:rsidR="005A2598" w:rsidRDefault="005A2598" w:rsidP="00C94484">
      <w:pPr>
        <w:tabs>
          <w:tab w:val="left" w:pos="142"/>
        </w:tabs>
        <w:rPr>
          <w:rFonts w:cs="Arial"/>
          <w:sz w:val="24"/>
          <w:szCs w:val="24"/>
          <w:shd w:val="clear" w:color="auto" w:fill="C0C0C0"/>
        </w:rPr>
      </w:pPr>
    </w:p>
    <w:p w:rsidR="001626DB" w:rsidRDefault="001626DB" w:rsidP="001626DB"/>
    <w:p w:rsidR="00BC3456" w:rsidRDefault="00BC3456" w:rsidP="001626DB"/>
    <w:p w:rsidR="00C94484" w:rsidRPr="001626DB" w:rsidRDefault="00C94484" w:rsidP="001626DB">
      <w:pPr>
        <w:jc w:val="center"/>
        <w:rPr>
          <w:b/>
        </w:rPr>
      </w:pPr>
      <w:r w:rsidRPr="001626DB">
        <w:rPr>
          <w:b/>
        </w:rPr>
        <w:lastRenderedPageBreak/>
        <w:t>LA GESTIONE DEI RESIDUI ATTIVI - ANALISI RISULTANZE</w:t>
      </w:r>
    </w:p>
    <w:p w:rsidR="00C94484" w:rsidRDefault="00C94484" w:rsidP="00C94484">
      <w:pPr>
        <w:tabs>
          <w:tab w:val="left" w:pos="142"/>
        </w:tabs>
        <w:rPr>
          <w:rFonts w:cs="Arial"/>
          <w:sz w:val="24"/>
          <w:szCs w:val="24"/>
        </w:rPr>
      </w:pP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Attenzione particolare merita l’analisi dei residui. La gestione dei residui costituisce la continuazione dell'attività gestionale del bilancio, in termini di competenza, riferita agli esercizi finanziari chiusi e trova il suo fondamento nella necessità di portare a completamento i procedimenti di acquisizione delle entrate, iniziati e non conclusi nell'esercizio in cui hanno avuto origine. Costituisce un comparto molto importante dell'attività gestionale in quanto partecipa, unitamente alla gestione di competenza, alla determinazione del risultato di amministrazione nel sistema di contabilità finanziaria degli enti locali. </w:t>
      </w:r>
    </w:p>
    <w:tbl>
      <w:tblPr>
        <w:tblW w:w="9673" w:type="dxa"/>
        <w:tblCellMar>
          <w:left w:w="70" w:type="dxa"/>
          <w:right w:w="70" w:type="dxa"/>
        </w:tblCellMar>
        <w:tblLook w:val="04A0"/>
      </w:tblPr>
      <w:tblGrid>
        <w:gridCol w:w="9675"/>
      </w:tblGrid>
      <w:tr w:rsidR="001626DB" w:rsidRPr="0054580D" w:rsidTr="001626DB">
        <w:trPr>
          <w:trHeight w:val="304"/>
        </w:trPr>
        <w:tc>
          <w:tcPr>
            <w:tcW w:w="9673" w:type="dxa"/>
            <w:shd w:val="clear" w:color="auto" w:fill="auto"/>
            <w:noWrap/>
            <w:vAlign w:val="bottom"/>
            <w:hideMark/>
          </w:tcPr>
          <w:p w:rsidR="001626DB" w:rsidRPr="0054580D" w:rsidRDefault="00A50F2E" w:rsidP="00A171A0">
            <w:pPr>
              <w:suppressAutoHyphens w:val="0"/>
              <w:jc w:val="center"/>
              <w:rPr>
                <w:color w:val="000000"/>
                <w:sz w:val="14"/>
                <w:szCs w:val="14"/>
                <w:lang w:eastAsia="it-IT"/>
              </w:rPr>
            </w:pPr>
            <w:r>
              <w:rPr>
                <w:color w:val="000000"/>
                <w:sz w:val="14"/>
                <w:szCs w:val="14"/>
                <w:lang w:eastAsia="it-IT"/>
              </w:rPr>
              <w:fldChar w:fldCharType="begin"/>
            </w:r>
            <w:r w:rsidR="002654F0">
              <w:rPr>
                <w:color w:val="000000"/>
                <w:sz w:val="14"/>
                <w:szCs w:val="14"/>
                <w:lang w:eastAsia="it-IT"/>
              </w:rPr>
              <w:instrText xml:space="preserve"> LINK Excel.Sheet.8 "\\\\srvfs01\\Programmazione_Finanziaria_Bilancio\\AREA COMUNE RAGIONERIA\\ENTRATE RENDICONTO 2011\\CONTO RESIDUI.xlsx!Foglio1!R2C2:R12C10" "" \a \p \* MERGEFORMAT </w:instrText>
            </w:r>
            <w:r>
              <w:rPr>
                <w:color w:val="000000"/>
                <w:sz w:val="14"/>
                <w:szCs w:val="14"/>
                <w:lang w:eastAsia="it-IT"/>
              </w:rPr>
              <w:fldChar w:fldCharType="separate"/>
            </w:r>
            <w:r w:rsidR="006D5FA4" w:rsidRPr="00A50F2E">
              <w:rPr>
                <w:color w:val="000000"/>
                <w:sz w:val="14"/>
                <w:szCs w:val="14"/>
                <w:lang w:eastAsia="it-IT"/>
              </w:rPr>
              <w:object w:dxaOrig="15175" w:dyaOrig="7075">
                <v:shape id="_x0000_i1062" type="#_x0000_t75" style="width:475.8pt;height:3in" o:bordertopcolor="this" o:borderleftcolor="this" o:borderbottomcolor="this" o:borderrightcolor="this">
                  <v:imagedata r:id="rId48" o:title=""/>
                  <w10:bordertop type="single" width="4"/>
                  <w10:borderleft type="single" width="4"/>
                  <w10:borderbottom type="single" width="4"/>
                  <w10:borderright type="single" width="4"/>
                </v:shape>
              </w:object>
            </w:r>
            <w:r>
              <w:rPr>
                <w:color w:val="000000"/>
                <w:sz w:val="14"/>
                <w:szCs w:val="14"/>
                <w:lang w:eastAsia="it-IT"/>
              </w:rPr>
              <w:fldChar w:fldCharType="end"/>
            </w:r>
          </w:p>
        </w:tc>
      </w:tr>
    </w:tbl>
    <w:p w:rsidR="00C94484" w:rsidRDefault="00C94484" w:rsidP="00C94484">
      <w:pPr>
        <w:tabs>
          <w:tab w:val="left" w:pos="142"/>
        </w:tabs>
        <w:spacing w:line="360" w:lineRule="auto"/>
        <w:jc w:val="both"/>
        <w:rPr>
          <w:rFonts w:cs="Arial"/>
          <w:sz w:val="24"/>
          <w:szCs w:val="24"/>
        </w:rPr>
      </w:pP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Il tasso di smaltimento, inteso quale rapporto tra i residui attivi accertati e conservati alla data del 01.01.2011  e le  riscossi effettuate in conto residui è stato del 13,5</w:t>
      </w:r>
      <w:r w:rsidR="00D16F74" w:rsidRPr="008F6D4A">
        <w:rPr>
          <w:rFonts w:ascii="Andalus" w:hAnsi="Andalus" w:cs="Andalus"/>
          <w:sz w:val="20"/>
          <w:szCs w:val="20"/>
          <w:lang w:eastAsia="it-IT"/>
        </w:rPr>
        <w:t>4</w:t>
      </w:r>
      <w:r w:rsidRPr="008F6D4A">
        <w:rPr>
          <w:rFonts w:ascii="Andalus" w:hAnsi="Andalus" w:cs="Andalus"/>
          <w:sz w:val="20"/>
          <w:szCs w:val="20"/>
          <w:lang w:eastAsia="it-IT"/>
        </w:rPr>
        <w:t xml:space="preserve"> % . Il dato  dimostra una bassa percentuale di indice di riscossione, sopratutto per quanto riguarda i Titoli II-IV- V.</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Sul totale di residui da riportare di € 92.539.222,14, l’importo dei residui proveniente dalla gestione di competenza è di  € 18.545.908,78, con una incidenza percentuale del 20,04 %. </w:t>
      </w:r>
    </w:p>
    <w:p w:rsidR="00C94484" w:rsidRDefault="00C94484" w:rsidP="00C94484">
      <w:pPr>
        <w:spacing w:line="360" w:lineRule="auto"/>
        <w:jc w:val="both"/>
        <w:rPr>
          <w:rFonts w:cs="Arial"/>
          <w:sz w:val="24"/>
          <w:szCs w:val="24"/>
        </w:rPr>
      </w:pPr>
    </w:p>
    <w:p w:rsidR="00C94484" w:rsidRDefault="00C94484" w:rsidP="00C94484">
      <w:pPr>
        <w:spacing w:line="360" w:lineRule="auto"/>
        <w:jc w:val="both"/>
        <w:rPr>
          <w:rFonts w:cs="Arial"/>
          <w:sz w:val="24"/>
          <w:szCs w:val="24"/>
        </w:rPr>
      </w:pPr>
    </w:p>
    <w:p w:rsidR="00C94484" w:rsidRDefault="00C94484" w:rsidP="00C94484">
      <w:pPr>
        <w:spacing w:line="360" w:lineRule="auto"/>
        <w:jc w:val="both"/>
        <w:rPr>
          <w:rFonts w:cs="Arial"/>
          <w:sz w:val="24"/>
          <w:szCs w:val="24"/>
        </w:rPr>
      </w:pPr>
    </w:p>
    <w:p w:rsidR="001626DB" w:rsidRDefault="001626DB" w:rsidP="00C94484">
      <w:pPr>
        <w:spacing w:line="360" w:lineRule="auto"/>
        <w:jc w:val="center"/>
        <w:rPr>
          <w:rFonts w:cs="Arial"/>
          <w:sz w:val="24"/>
          <w:szCs w:val="24"/>
        </w:rPr>
      </w:pPr>
    </w:p>
    <w:p w:rsidR="001626DB" w:rsidRDefault="001626DB" w:rsidP="00C94484">
      <w:pPr>
        <w:spacing w:line="360" w:lineRule="auto"/>
        <w:jc w:val="center"/>
        <w:rPr>
          <w:rFonts w:cs="Arial"/>
          <w:sz w:val="24"/>
          <w:szCs w:val="24"/>
        </w:rPr>
      </w:pPr>
    </w:p>
    <w:p w:rsidR="00C94484" w:rsidRDefault="00C94484" w:rsidP="00C94484">
      <w:pPr>
        <w:spacing w:line="360" w:lineRule="auto"/>
        <w:jc w:val="center"/>
        <w:rPr>
          <w:rFonts w:cs="Arial"/>
          <w:sz w:val="24"/>
          <w:szCs w:val="24"/>
        </w:rPr>
      </w:pPr>
      <w:r>
        <w:rPr>
          <w:rFonts w:cs="Arial"/>
          <w:sz w:val="24"/>
          <w:szCs w:val="24"/>
        </w:rPr>
        <w:lastRenderedPageBreak/>
        <w:t>ANALISI ANZIANITA’ RESIDUI</w:t>
      </w:r>
    </w:p>
    <w:tbl>
      <w:tblPr>
        <w:tblW w:w="10123" w:type="dxa"/>
        <w:tblInd w:w="60" w:type="dxa"/>
        <w:tblCellMar>
          <w:left w:w="70" w:type="dxa"/>
          <w:right w:w="70" w:type="dxa"/>
        </w:tblCellMar>
        <w:tblLook w:val="04A0"/>
      </w:tblPr>
      <w:tblGrid>
        <w:gridCol w:w="10135"/>
      </w:tblGrid>
      <w:tr w:rsidR="001626DB" w:rsidRPr="00EF1449" w:rsidTr="001626DB">
        <w:trPr>
          <w:trHeight w:val="290"/>
        </w:trPr>
        <w:tc>
          <w:tcPr>
            <w:tcW w:w="10123" w:type="dxa"/>
            <w:shd w:val="clear" w:color="auto" w:fill="auto"/>
            <w:noWrap/>
            <w:vAlign w:val="bottom"/>
            <w:hideMark/>
          </w:tcPr>
          <w:p w:rsidR="001626DB" w:rsidRPr="00EF1449" w:rsidRDefault="00A50F2E" w:rsidP="00A171A0">
            <w:pPr>
              <w:suppressAutoHyphens w:val="0"/>
              <w:rPr>
                <w:color w:val="000000"/>
                <w:lang w:eastAsia="it-IT"/>
              </w:rPr>
            </w:pPr>
            <w:r>
              <w:rPr>
                <w:color w:val="000000"/>
                <w:lang w:eastAsia="it-IT"/>
              </w:rPr>
              <w:fldChar w:fldCharType="begin"/>
            </w:r>
            <w:r w:rsidR="002654F0">
              <w:rPr>
                <w:color w:val="000000"/>
                <w:lang w:eastAsia="it-IT"/>
              </w:rPr>
              <w:instrText xml:space="preserve"> LINK Excel.Sheet.8 "\\\\srvfs01\\Programmazione_Finanziaria_Bilancio\\AREA COMUNE RAGIONERIA\\ENTRATE RENDICONTO 2011\\CONTO RESIDUI.xlsx!Foglio2!R2C1:R9C8" "" \a \p </w:instrText>
            </w:r>
            <w:r>
              <w:rPr>
                <w:color w:val="000000"/>
                <w:lang w:eastAsia="it-IT"/>
              </w:rPr>
              <w:fldChar w:fldCharType="separate"/>
            </w:r>
            <w:r w:rsidR="006D5FA4" w:rsidRPr="00A50F2E">
              <w:rPr>
                <w:color w:val="000000"/>
                <w:lang w:eastAsia="it-IT"/>
              </w:rPr>
              <w:object w:dxaOrig="15915" w:dyaOrig="4637">
                <v:shape id="_x0000_i1063" type="#_x0000_t75" style="width:499.8pt;height:141pt" o:bordertopcolor="this">
                  <v:imagedata r:id="rId49" o:title=""/>
                  <w10:bordertop type="single" width="4"/>
                </v:shape>
              </w:object>
            </w:r>
            <w:r>
              <w:rPr>
                <w:color w:val="000000"/>
                <w:lang w:eastAsia="it-IT"/>
              </w:rPr>
              <w:fldChar w:fldCharType="end"/>
            </w:r>
          </w:p>
        </w:tc>
      </w:tr>
    </w:tbl>
    <w:p w:rsidR="00C94484" w:rsidRPr="008F6D4A" w:rsidRDefault="00C94484" w:rsidP="008F6D4A">
      <w:pPr>
        <w:spacing w:line="360" w:lineRule="auto"/>
        <w:jc w:val="both"/>
        <w:rPr>
          <w:rFonts w:ascii="Andalus" w:hAnsi="Andalus" w:cs="Andalus"/>
          <w:sz w:val="20"/>
          <w:szCs w:val="20"/>
          <w:lang w:eastAsia="it-IT"/>
        </w:rPr>
      </w:pP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Il prospetto mette in evidenza l'elevato importo di residui di lunga conservazione presenti al Titolo 2°,  in particolare risultano ancora da incassare €  20.089.151,28   per trasferimenti erariali perenti da parte del Ministero dell'Interno per gli anni dal 1997 al 2007.</w:t>
      </w: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L'art. 47, comma 1, della Legge n. 449/1997 (Legge Finanziaria 1998) subordinava i pagamenti a carico dello Stato al raggiungimento di determinati limiti di giacenza dei conti di tesoreria.</w:t>
      </w: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In pratica le erogazioni scattavano solo se le disponibilità liquide degli enti si riducevano al di sotto di una certa percentuale stabilita di anno in anno, per le singole categorie di enti, con decreto del ministero dell'economia, in misura compresa tra il 10% e il 20% dell'assegnazione di competenza.</w:t>
      </w:r>
    </w:p>
    <w:p w:rsidR="00C94484" w:rsidRPr="008F6D4A" w:rsidRDefault="00865C99"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Tale regime</w:t>
      </w:r>
      <w:r w:rsidR="00C94484" w:rsidRPr="008F6D4A">
        <w:rPr>
          <w:rFonts w:ascii="Andalus" w:hAnsi="Andalus" w:cs="Andalus"/>
          <w:sz w:val="20"/>
          <w:szCs w:val="20"/>
          <w:lang w:eastAsia="it-IT"/>
        </w:rPr>
        <w:t xml:space="preserve"> di controllo dei flussi di tesoreria degli enti locali non è stato confermato dalla legge finanziaria 2008 ed è pertanto cessato. </w:t>
      </w: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w:t>
      </w:r>
      <w:r w:rsidR="00865C99" w:rsidRPr="008F6D4A">
        <w:rPr>
          <w:rFonts w:ascii="Andalus" w:hAnsi="Andalus" w:cs="Andalus"/>
          <w:sz w:val="20"/>
          <w:szCs w:val="20"/>
          <w:lang w:eastAsia="it-IT"/>
        </w:rPr>
        <w:t xml:space="preserve"> </w:t>
      </w:r>
      <w:r w:rsidRPr="008F6D4A">
        <w:rPr>
          <w:rFonts w:ascii="Andalus" w:hAnsi="Andalus" w:cs="Andalus"/>
          <w:sz w:val="20"/>
          <w:szCs w:val="20"/>
          <w:lang w:eastAsia="it-IT"/>
        </w:rPr>
        <w:t>A livello nazionale i crediti non pagati dal 1997 al 2007 hanno generato un debito di 11,664 miliardi di euro. Nella finanziaria 2010 era stato previsto un fondo di 250 milioni di euro per l'accredito di una parte dei finanziamenti, il cui percorso di rimborso dovrebbe concludersi nell'anno 2022. La Sezione Centrale della Corte dei Conti con delibera n. 26 del 10.12.2010 ha richiamato il MEF e il Ministero dell'Interno a trovare idonea copertura a questa voragine apertasi nei conti pubblici per la mancata conservazione di adeguate disponibilità di cassa.</w:t>
      </w: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In proposito il Settore Programmazione Finanziaria e Bilancio, ogni anno, provvede  a richiedere al Ministero dell’Interno la </w:t>
      </w:r>
      <w:proofErr w:type="spellStart"/>
      <w:r w:rsidRPr="008F6D4A">
        <w:rPr>
          <w:rFonts w:ascii="Andalus" w:hAnsi="Andalus" w:cs="Andalus"/>
          <w:sz w:val="20"/>
          <w:szCs w:val="20"/>
          <w:lang w:eastAsia="it-IT"/>
        </w:rPr>
        <w:t>reiscrizione</w:t>
      </w:r>
      <w:proofErr w:type="spellEnd"/>
      <w:r w:rsidRPr="008F6D4A">
        <w:rPr>
          <w:rFonts w:ascii="Andalus" w:hAnsi="Andalus" w:cs="Andalus"/>
          <w:sz w:val="20"/>
          <w:szCs w:val="20"/>
          <w:lang w:eastAsia="it-IT"/>
        </w:rPr>
        <w:t xml:space="preserve"> di tali somme e l'erogazione del totale dei residui perenti .</w:t>
      </w:r>
    </w:p>
    <w:p w:rsidR="00C94484" w:rsidRPr="008F6D4A" w:rsidRDefault="00C94484" w:rsidP="008F6D4A">
      <w:pPr>
        <w:spacing w:line="360" w:lineRule="auto"/>
        <w:jc w:val="both"/>
        <w:rPr>
          <w:rFonts w:ascii="Andalus" w:hAnsi="Andalus" w:cs="Andalus"/>
          <w:sz w:val="20"/>
          <w:szCs w:val="20"/>
          <w:lang w:eastAsia="it-IT"/>
        </w:rPr>
      </w:pPr>
    </w:p>
    <w:p w:rsidR="00C94484" w:rsidRPr="008F6D4A" w:rsidRDefault="00C94484"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lastRenderedPageBreak/>
        <w:t xml:space="preserve">I residui relativi relativo ai Titoli IV  e V derivano  dalla difficoltà di utilizzo da parte dell'ente sia dei finanziamenti regionali che dei mutui contratti con la Cassa </w:t>
      </w:r>
      <w:proofErr w:type="spellStart"/>
      <w:r w:rsidRPr="008F6D4A">
        <w:rPr>
          <w:rFonts w:ascii="Andalus" w:hAnsi="Andalus" w:cs="Andalus"/>
          <w:sz w:val="20"/>
          <w:szCs w:val="20"/>
          <w:lang w:eastAsia="it-IT"/>
        </w:rPr>
        <w:t>DD.PP</w:t>
      </w:r>
      <w:proofErr w:type="spellEnd"/>
      <w:r w:rsidRPr="008F6D4A">
        <w:rPr>
          <w:rFonts w:ascii="Andalus" w:hAnsi="Andalus" w:cs="Andalus"/>
          <w:sz w:val="20"/>
          <w:szCs w:val="20"/>
          <w:lang w:eastAsia="it-IT"/>
        </w:rPr>
        <w:t xml:space="preserve">. per il prolungarsi della realizzazione delle opere pubbliche alla base di detti finanziamenti.         </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Al fine di conferire sempre la massima veridicità ai dati contabili, il legislatore all’art. 228, comma 3, Testo Unico ha disposto che l’ente locale, prima dell’inserimento nel conto del bilancio dei residui attivi e passivi, provveda all’operazione di </w:t>
      </w:r>
      <w:proofErr w:type="spellStart"/>
      <w:r w:rsidRPr="008F6D4A">
        <w:rPr>
          <w:rFonts w:ascii="Andalus" w:hAnsi="Andalus" w:cs="Andalus"/>
          <w:sz w:val="20"/>
          <w:szCs w:val="20"/>
          <w:lang w:eastAsia="it-IT"/>
        </w:rPr>
        <w:t>riaccertamento</w:t>
      </w:r>
      <w:proofErr w:type="spellEnd"/>
      <w:r w:rsidRPr="008F6D4A">
        <w:rPr>
          <w:rFonts w:ascii="Andalus" w:hAnsi="Andalus" w:cs="Andalus"/>
          <w:sz w:val="20"/>
          <w:szCs w:val="20"/>
          <w:lang w:eastAsia="it-IT"/>
        </w:rPr>
        <w:t xml:space="preserve"> degli stessi, consistente nella revisione delle ragioni del mantenimento in tutto o in parte dei residui. Detta operazione deve essere eseguita dai responsabili dei servizi interessati che devono verificare se tutti gli accertamenti delle entrate non ancora riscosse siano stati effettuati sulla base della documentazione atta a determinare la ragione del credito, la verifica della sussistenza di un idoneo titolo giuridico, l’esistenza del debitore, la quantificazione della somma e la scadenza dell’obbligazione. Le procedure di revisione conducono al mantenimento delle posizioni creditorie o all’eventuale eliminazione, totale o parziale, dei residui attivi riconosciuti insussistenti per l’avvenuta legale estinzione, o per indebito o erroneo accertamento del credito, o di dubbia esigibilità.</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Le operazioni di verifica effettuate dai Dirigenti responsabili dei settori e le rispettive comunicazioni al settore finanziario hanno portato alle seguenti operazioni di </w:t>
      </w:r>
      <w:proofErr w:type="spellStart"/>
      <w:r w:rsidRPr="008F6D4A">
        <w:rPr>
          <w:rFonts w:ascii="Andalus" w:hAnsi="Andalus" w:cs="Andalus"/>
          <w:sz w:val="20"/>
          <w:szCs w:val="20"/>
          <w:lang w:eastAsia="it-IT"/>
        </w:rPr>
        <w:t>riaccertamento</w:t>
      </w:r>
      <w:proofErr w:type="spellEnd"/>
      <w:r w:rsidRPr="008F6D4A">
        <w:rPr>
          <w:rFonts w:ascii="Andalus" w:hAnsi="Andalus" w:cs="Andalus"/>
          <w:sz w:val="20"/>
          <w:szCs w:val="20"/>
          <w:lang w:eastAsia="it-IT"/>
        </w:rPr>
        <w:t>:</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Titolo I  Categoria 01.0001 - Imposte: è stata eliminata la somma di € 426,86 a seguito di comunicazione da parte di Comuni di  avvenuto sgravio relativi a quote di Tributo provinciale per l'esercizio delle funzioni di tutela, protezione ed igiene ambientale.</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Titolo II Categoria 01.0004  è stata eliminata la somma di € 1,81.</w:t>
      </w:r>
    </w:p>
    <w:p w:rsidR="00BC3456"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Titolo II Categoria 02.0005:</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è stata eliminata la somma di € 5.962,35 relativa al contributo Ras per la lingua sarda L. 482/99 annualità 2005 in quanto il finanziamento erogato è commisurato alle somme effettivamente spese e rendicontate, analoga somma è stata eliminata nella parte spesa.</w:t>
      </w:r>
    </w:p>
    <w:p w:rsid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è stata eliminata la somma di € 38,20 relativa al contributo Ras per la lingua sarda L. 482/99 annualità 2006 in quanto il finanziamento erogato è commisurato alle somme effettivamente spese e rendicontate, analoga somma è stata eliminata nella parte spesa.</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risulta un maggiore accertamento di € 73.362,35 relativo al trasferimento regionale per mobilità dipendenti ex Comunità montane annualità 2010.</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 Titolo II Categoria 03.0006  è stata eliminata la somma di € 225.512,75 per minore finanziamento Ras per la proroga dei servizi sperimentali per l'impiego, conseguentemente è stato diminuito il residuo passivo  per pari importo.</w:t>
      </w:r>
    </w:p>
    <w:p w:rsidR="00E742FE" w:rsidRDefault="00E742FE" w:rsidP="00C94484">
      <w:pPr>
        <w:spacing w:line="360" w:lineRule="auto"/>
        <w:jc w:val="both"/>
        <w:rPr>
          <w:rFonts w:ascii="Andalus" w:hAnsi="Andalus" w:cs="Andalus"/>
          <w:sz w:val="20"/>
          <w:szCs w:val="20"/>
          <w:lang w:eastAsia="it-IT"/>
        </w:rPr>
      </w:pP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xml:space="preserve">Titolo II Categoria 05.0008 è stata eliminata la somma di € 4.660,79 per la realizzazione del progetto </w:t>
      </w:r>
      <w:proofErr w:type="spellStart"/>
      <w:r w:rsidRPr="008F6D4A">
        <w:rPr>
          <w:rFonts w:ascii="Andalus" w:hAnsi="Andalus" w:cs="Andalus"/>
          <w:sz w:val="20"/>
          <w:szCs w:val="20"/>
          <w:lang w:eastAsia="it-IT"/>
        </w:rPr>
        <w:t>Dialogos</w:t>
      </w:r>
      <w:proofErr w:type="spellEnd"/>
      <w:r w:rsidRPr="008F6D4A">
        <w:rPr>
          <w:rFonts w:ascii="Andalus" w:hAnsi="Andalus" w:cs="Andalus"/>
          <w:sz w:val="20"/>
          <w:szCs w:val="20"/>
          <w:lang w:eastAsia="it-IT"/>
        </w:rPr>
        <w:t xml:space="preserve">  in quanto il finanziamento erogato è commisurato alle somme effettivamente spese e rendicontate, analoga somma è stata eliminata nella parte spesa.</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Titolo III Categoria 05.0013 è stata eliminata la somma di € 2,31.</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Titolo IV Categoria 03.0016:</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è stata eliminata la somma di € 0,01.</w:t>
      </w:r>
    </w:p>
    <w:p w:rsidR="00C94484" w:rsidRPr="008F6D4A" w:rsidRDefault="00C94484"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 è stata eliminata la somma di € 30.000 relativa al finanziamento regionale per la realizzazione di una scuola di eccellenza per il turismo presso l'Istituto Alberghiero di Oristano in quanto il finanziamento erogato è commisurato alle somme effettivamente spese e rendicontate, conseguentemente è stato diminuito il residuo passivo  per pari importo.</w:t>
      </w:r>
    </w:p>
    <w:p w:rsidR="00B6042A" w:rsidRPr="008F6D4A" w:rsidRDefault="00BC5A57" w:rsidP="00C94484">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GESTIONE DEI RESIDUI</w:t>
      </w:r>
    </w:p>
    <w:p w:rsidR="00BC5A57" w:rsidRPr="008F6D4A" w:rsidRDefault="00BC5A57"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Maggiori Residui Attivi   +   73.362,35</w:t>
      </w:r>
    </w:p>
    <w:p w:rsidR="00BC5A57" w:rsidRPr="008F6D4A" w:rsidRDefault="00BC5A57"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Minori Residui Attivi       - 266.605,08</w:t>
      </w:r>
    </w:p>
    <w:p w:rsidR="00BC5A57" w:rsidRDefault="00BC5A57" w:rsidP="008F6D4A">
      <w:pPr>
        <w:spacing w:line="360" w:lineRule="auto"/>
        <w:jc w:val="both"/>
        <w:rPr>
          <w:rFonts w:ascii="Andalus" w:hAnsi="Andalus" w:cs="Andalus"/>
          <w:sz w:val="20"/>
          <w:szCs w:val="20"/>
          <w:lang w:eastAsia="it-IT"/>
        </w:rPr>
      </w:pPr>
      <w:r w:rsidRPr="008F6D4A">
        <w:rPr>
          <w:rFonts w:ascii="Andalus" w:hAnsi="Andalus" w:cs="Andalus"/>
          <w:sz w:val="20"/>
          <w:szCs w:val="20"/>
          <w:lang w:eastAsia="it-IT"/>
        </w:rPr>
        <w:t>Saldo Gestione Residui   - 193.242,73</w:t>
      </w: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Default="00E742FE" w:rsidP="008F6D4A">
      <w:pPr>
        <w:spacing w:line="360" w:lineRule="auto"/>
        <w:jc w:val="both"/>
        <w:rPr>
          <w:rFonts w:ascii="Andalus" w:hAnsi="Andalus" w:cs="Andalus"/>
          <w:sz w:val="20"/>
          <w:szCs w:val="20"/>
          <w:lang w:eastAsia="it-IT"/>
        </w:rPr>
      </w:pPr>
    </w:p>
    <w:p w:rsidR="00E742FE" w:rsidRPr="008F6D4A" w:rsidRDefault="00E742FE" w:rsidP="008F6D4A">
      <w:pPr>
        <w:spacing w:line="360" w:lineRule="auto"/>
        <w:jc w:val="both"/>
        <w:rPr>
          <w:rFonts w:ascii="Andalus" w:hAnsi="Andalus" w:cs="Andalus"/>
          <w:sz w:val="20"/>
          <w:szCs w:val="20"/>
          <w:lang w:eastAsia="it-IT"/>
        </w:rPr>
      </w:pPr>
    </w:p>
    <w:p w:rsidR="00D9795C" w:rsidRDefault="00D9795C" w:rsidP="00D9795C">
      <w:pPr>
        <w:spacing w:line="360" w:lineRule="auto"/>
        <w:jc w:val="center"/>
        <w:rPr>
          <w:b/>
        </w:rPr>
      </w:pPr>
      <w:r>
        <w:rPr>
          <w:b/>
        </w:rPr>
        <w:t>Gestione delle Spese in conto competenza nell'esercizio finanziario 2011</w:t>
      </w:r>
    </w:p>
    <w:p w:rsidR="00D9795C" w:rsidRDefault="00D9795C" w:rsidP="00D9795C">
      <w:pPr>
        <w:spacing w:line="360" w:lineRule="auto"/>
        <w:jc w:val="both"/>
        <w:rPr>
          <w:rFonts w:eastAsia="ArialMT" w:cs="ArialMT"/>
          <w:sz w:val="20"/>
          <w:szCs w:val="20"/>
        </w:rPr>
      </w:pPr>
      <w:r>
        <w:rPr>
          <w:rFonts w:eastAsia="ArialMT" w:cs="ArialMT"/>
          <w:szCs w:val="18"/>
        </w:rPr>
        <w:tab/>
      </w:r>
      <w:r>
        <w:rPr>
          <w:rFonts w:eastAsia="ArialMT" w:cs="ArialMT"/>
          <w:sz w:val="20"/>
          <w:szCs w:val="20"/>
        </w:rPr>
        <w:t xml:space="preserve">Le spese della Provincia sono costituite da spese di parte corrente, spese in conto capitale, rimborso di prestiti e da movimenti di risorse effettuate per conto di altri soggetti denominati, nella struttura contabile prevista dal Testo unico sull’ordinamento degli enti locali, servizi per conto di terzi. I quadri successivi riportano l'elenco delle uscite per stanziamento di competenza raffrontate a quelle impegnate nell'esercizio (competenza), suddivise nei diversi titoli di appartenenza, </w:t>
      </w:r>
      <w:proofErr w:type="spellStart"/>
      <w:r>
        <w:rPr>
          <w:rFonts w:eastAsia="ArialMT" w:cs="ArialMT"/>
          <w:sz w:val="20"/>
          <w:szCs w:val="20"/>
        </w:rPr>
        <w:t>nonchè</w:t>
      </w:r>
      <w:proofErr w:type="spellEnd"/>
      <w:r>
        <w:rPr>
          <w:rFonts w:eastAsia="ArialMT" w:cs="ArialMT"/>
          <w:sz w:val="20"/>
          <w:szCs w:val="20"/>
        </w:rPr>
        <w:t xml:space="preserve"> il trend storico delle spese nell'ultimo quinquennio. L'ultima colonna, trasformando i valori monetari in percentuali, indica l'importanza delle singole voci sul totale generale. I grafici sottostanti ne visualizzano la diversa composizione mettendo in evidenza come nell'esercizio 2010, la maggiore quantità delle spese sia stata al titolo 1 Spese Correnti  che si rammenta  sono stanziate in bilancio per fronteggiare i costi per il personale, l'acquisto di beni di consumo, le prestazioni di servizi, l'utilizzo dei beni di terzi, le imposte e le tasse, i trasferimenti correnti, gli interessi passivi, gli ammortamenti e gli eventuali oneri straordinari della gestione. Si tratta, pertanto, di previsioni di spesa e di impegni connessi con il normale funzionamento della provincia.  </w:t>
      </w:r>
    </w:p>
    <w:p w:rsidR="00D9795C" w:rsidRDefault="00D9795C" w:rsidP="00D9795C">
      <w:pPr>
        <w:spacing w:line="360" w:lineRule="auto"/>
        <w:jc w:val="center"/>
        <w:rPr>
          <w:rFonts w:eastAsia="ArialMT" w:cs="ArialMT"/>
          <w:sz w:val="20"/>
          <w:szCs w:val="20"/>
        </w:rPr>
      </w:pPr>
      <w:r>
        <w:rPr>
          <w:rFonts w:eastAsia="ArialMT" w:cs="ArialMT"/>
          <w:sz w:val="20"/>
          <w:szCs w:val="20"/>
        </w:rPr>
        <w:t xml:space="preserve">QUADRO RIEPILOGATIVO DELLE SPESE – GESTIONE </w:t>
      </w:r>
      <w:proofErr w:type="spellStart"/>
      <w:r>
        <w:rPr>
          <w:rFonts w:eastAsia="ArialMT" w:cs="ArialMT"/>
          <w:sz w:val="20"/>
          <w:szCs w:val="20"/>
        </w:rPr>
        <w:t>DI</w:t>
      </w:r>
      <w:proofErr w:type="spellEnd"/>
      <w:r>
        <w:rPr>
          <w:rFonts w:eastAsia="ArialMT" w:cs="ArialMT"/>
          <w:sz w:val="20"/>
          <w:szCs w:val="20"/>
        </w:rPr>
        <w:t xml:space="preserve"> COMPETENZA 2011</w:t>
      </w:r>
    </w:p>
    <w:p w:rsidR="00D9795C" w:rsidRDefault="00D9795C" w:rsidP="00D9795C">
      <w:pPr>
        <w:spacing w:line="360" w:lineRule="auto"/>
        <w:jc w:val="center"/>
        <w:rPr>
          <w:rFonts w:eastAsia="ArialMT" w:cs="ArialMT"/>
          <w:szCs w:val="18"/>
        </w:rPr>
      </w:pPr>
      <w:r>
        <w:rPr>
          <w:rFonts w:eastAsia="ArialMT" w:cs="ArialMT"/>
          <w:noProof/>
          <w:sz w:val="20"/>
          <w:szCs w:val="20"/>
          <w:lang w:eastAsia="it-IT"/>
        </w:rPr>
        <w:drawing>
          <wp:inline distT="0" distB="0" distL="0" distR="0">
            <wp:extent cx="6134100" cy="1609725"/>
            <wp:effectExtent l="19050" t="0" r="0" b="0"/>
            <wp:docPr id="148" name="Oggetto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48"/>
                    <pic:cNvPicPr>
                      <a:picLocks noChangeAspect="1" noChangeArrowheads="1"/>
                    </pic:cNvPicPr>
                  </pic:nvPicPr>
                  <pic:blipFill>
                    <a:blip r:embed="rId50" cstate="print"/>
                    <a:srcRect/>
                    <a:stretch>
                      <a:fillRect/>
                    </a:stretch>
                  </pic:blipFill>
                  <pic:spPr bwMode="auto">
                    <a:xfrm>
                      <a:off x="0" y="0"/>
                      <a:ext cx="6134100" cy="1609725"/>
                    </a:xfrm>
                    <a:prstGeom prst="rect">
                      <a:avLst/>
                    </a:prstGeom>
                    <a:noFill/>
                    <a:ln w="9525">
                      <a:noFill/>
                      <a:miter lim="800000"/>
                      <a:headEnd/>
                      <a:tailEnd/>
                    </a:ln>
                  </pic:spPr>
                </pic:pic>
              </a:graphicData>
            </a:graphic>
          </wp:inline>
        </w:drawing>
      </w:r>
    </w:p>
    <w:p w:rsidR="00D9795C" w:rsidRDefault="00D9795C" w:rsidP="00D9795C">
      <w:pPr>
        <w:jc w:val="center"/>
      </w:pPr>
      <w:r>
        <w:br w:type="textWrapping" w:clear="all"/>
      </w:r>
      <w:r>
        <w:rPr>
          <w:noProof/>
          <w:lang w:eastAsia="it-IT"/>
        </w:rPr>
        <w:drawing>
          <wp:inline distT="0" distB="0" distL="0" distR="0">
            <wp:extent cx="6134100" cy="3048000"/>
            <wp:effectExtent l="19050" t="0" r="0" b="0"/>
            <wp:docPr id="149" name="Oggetto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49"/>
                    <pic:cNvPicPr>
                      <a:picLocks noChangeAspect="1" noChangeArrowheads="1"/>
                    </pic:cNvPicPr>
                  </pic:nvPicPr>
                  <pic:blipFill>
                    <a:blip r:embed="rId51" cstate="print"/>
                    <a:srcRect/>
                    <a:stretch>
                      <a:fillRect/>
                    </a:stretch>
                  </pic:blipFill>
                  <pic:spPr bwMode="auto">
                    <a:xfrm>
                      <a:off x="0" y="0"/>
                      <a:ext cx="6134100" cy="3048000"/>
                    </a:xfrm>
                    <a:prstGeom prst="rect">
                      <a:avLst/>
                    </a:prstGeom>
                    <a:noFill/>
                    <a:ln w="9525">
                      <a:noFill/>
                      <a:miter lim="800000"/>
                      <a:headEnd/>
                      <a:tailEnd/>
                    </a:ln>
                  </pic:spPr>
                </pic:pic>
              </a:graphicData>
            </a:graphic>
          </wp:inline>
        </w:drawing>
      </w:r>
    </w:p>
    <w:p w:rsidR="00D9795C" w:rsidRDefault="00D9795C" w:rsidP="00D9795C">
      <w:pPr>
        <w:jc w:val="center"/>
      </w:pPr>
    </w:p>
    <w:p w:rsidR="00D9795C" w:rsidRDefault="00D9795C" w:rsidP="00D9795C">
      <w:pPr>
        <w:jc w:val="center"/>
      </w:pPr>
    </w:p>
    <w:p w:rsidR="00D9795C" w:rsidRDefault="00D9795C" w:rsidP="00D9795C">
      <w:r>
        <w:rPr>
          <w:noProof/>
          <w:lang w:eastAsia="it-IT"/>
        </w:rPr>
        <w:lastRenderedPageBreak/>
        <w:drawing>
          <wp:inline distT="0" distB="0" distL="0" distR="0">
            <wp:extent cx="6391275" cy="2771775"/>
            <wp:effectExtent l="19050" t="0" r="9525" b="0"/>
            <wp:docPr id="150" name="Oggetto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0"/>
                    <pic:cNvPicPr>
                      <a:picLocks noChangeAspect="1" noChangeArrowheads="1"/>
                    </pic:cNvPicPr>
                  </pic:nvPicPr>
                  <pic:blipFill>
                    <a:blip r:embed="rId52" cstate="print"/>
                    <a:srcRect/>
                    <a:stretch>
                      <a:fillRect/>
                    </a:stretch>
                  </pic:blipFill>
                  <pic:spPr bwMode="auto">
                    <a:xfrm>
                      <a:off x="0" y="0"/>
                      <a:ext cx="6391275" cy="2771775"/>
                    </a:xfrm>
                    <a:prstGeom prst="rect">
                      <a:avLst/>
                    </a:prstGeom>
                    <a:noFill/>
                    <a:ln w="9525">
                      <a:noFill/>
                      <a:miter lim="800000"/>
                      <a:headEnd/>
                      <a:tailEnd/>
                    </a:ln>
                  </pic:spPr>
                </pic:pic>
              </a:graphicData>
            </a:graphic>
          </wp:inline>
        </w:drawing>
      </w:r>
    </w:p>
    <w:p w:rsidR="00D9795C" w:rsidRDefault="00D9795C" w:rsidP="00D9795C"/>
    <w:p w:rsidR="00D9795C" w:rsidRDefault="00D9795C" w:rsidP="00D9795C">
      <w:r>
        <w:rPr>
          <w:noProof/>
          <w:lang w:eastAsia="it-IT"/>
        </w:rPr>
        <w:drawing>
          <wp:inline distT="0" distB="0" distL="0" distR="0">
            <wp:extent cx="6410325" cy="2543175"/>
            <wp:effectExtent l="19050" t="0" r="9525" b="0"/>
            <wp:docPr id="151" name="Oggetto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1"/>
                    <pic:cNvPicPr>
                      <a:picLocks noChangeAspect="1" noChangeArrowheads="1"/>
                    </pic:cNvPicPr>
                  </pic:nvPicPr>
                  <pic:blipFill>
                    <a:blip r:embed="rId53" cstate="print"/>
                    <a:srcRect/>
                    <a:stretch>
                      <a:fillRect/>
                    </a:stretch>
                  </pic:blipFill>
                  <pic:spPr bwMode="auto">
                    <a:xfrm>
                      <a:off x="0" y="0"/>
                      <a:ext cx="6410325" cy="2543175"/>
                    </a:xfrm>
                    <a:prstGeom prst="rect">
                      <a:avLst/>
                    </a:prstGeom>
                    <a:noFill/>
                    <a:ln w="9525">
                      <a:noFill/>
                      <a:miter lim="800000"/>
                      <a:headEnd/>
                      <a:tailEnd/>
                    </a:ln>
                  </pic:spPr>
                </pic:pic>
              </a:graphicData>
            </a:graphic>
          </wp:inline>
        </w:drawing>
      </w:r>
    </w:p>
    <w:p w:rsidR="00D9795C" w:rsidRDefault="00D9795C" w:rsidP="00D9795C"/>
    <w:p w:rsidR="00D9795C" w:rsidRDefault="00D9795C" w:rsidP="00D9795C"/>
    <w:p w:rsidR="00D9795C" w:rsidRDefault="00D9795C" w:rsidP="00D9795C"/>
    <w:p w:rsidR="00D9795C" w:rsidRDefault="00D9795C" w:rsidP="00D9795C"/>
    <w:p w:rsidR="00D9795C" w:rsidRDefault="00D9795C" w:rsidP="00D9795C"/>
    <w:p w:rsidR="00D9795C" w:rsidRDefault="00D9795C" w:rsidP="00D9795C"/>
    <w:p w:rsidR="00D9795C" w:rsidRDefault="00D9795C" w:rsidP="00D9795C">
      <w:r>
        <w:rPr>
          <w:noProof/>
          <w:lang w:eastAsia="it-IT"/>
        </w:rPr>
        <w:lastRenderedPageBreak/>
        <w:drawing>
          <wp:inline distT="0" distB="0" distL="0" distR="0">
            <wp:extent cx="5781675" cy="3286125"/>
            <wp:effectExtent l="19050" t="0" r="9525" b="0"/>
            <wp:docPr id="152" name="Oggetto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2"/>
                    <pic:cNvPicPr>
                      <a:picLocks noChangeAspect="1" noChangeArrowheads="1"/>
                    </pic:cNvPicPr>
                  </pic:nvPicPr>
                  <pic:blipFill>
                    <a:blip r:embed="rId54" cstate="print"/>
                    <a:srcRect/>
                    <a:stretch>
                      <a:fillRect/>
                    </a:stretch>
                  </pic:blipFill>
                  <pic:spPr bwMode="auto">
                    <a:xfrm>
                      <a:off x="0" y="0"/>
                      <a:ext cx="5781675" cy="3286125"/>
                    </a:xfrm>
                    <a:prstGeom prst="rect">
                      <a:avLst/>
                    </a:prstGeom>
                    <a:noFill/>
                    <a:ln w="9525">
                      <a:noFill/>
                      <a:miter lim="800000"/>
                      <a:headEnd/>
                      <a:tailEnd/>
                    </a:ln>
                  </pic:spPr>
                </pic:pic>
              </a:graphicData>
            </a:graphic>
          </wp:inline>
        </w:drawing>
      </w:r>
    </w:p>
    <w:p w:rsidR="00D9795C" w:rsidRDefault="00D9795C" w:rsidP="00D9795C">
      <w:r>
        <w:rPr>
          <w:noProof/>
          <w:lang w:eastAsia="it-IT"/>
        </w:rPr>
        <w:drawing>
          <wp:inline distT="0" distB="0" distL="0" distR="0">
            <wp:extent cx="5819775" cy="3562350"/>
            <wp:effectExtent l="19050" t="0" r="9525" b="0"/>
            <wp:docPr id="153" name="Oggetto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3"/>
                    <pic:cNvPicPr>
                      <a:picLocks noChangeAspect="1" noChangeArrowheads="1"/>
                    </pic:cNvPicPr>
                  </pic:nvPicPr>
                  <pic:blipFill>
                    <a:blip r:embed="rId55" cstate="print"/>
                    <a:srcRect/>
                    <a:stretch>
                      <a:fillRect/>
                    </a:stretch>
                  </pic:blipFill>
                  <pic:spPr bwMode="auto">
                    <a:xfrm>
                      <a:off x="0" y="0"/>
                      <a:ext cx="5819775" cy="3562350"/>
                    </a:xfrm>
                    <a:prstGeom prst="rect">
                      <a:avLst/>
                    </a:prstGeom>
                    <a:noFill/>
                    <a:ln w="9525">
                      <a:noFill/>
                      <a:miter lim="800000"/>
                      <a:headEnd/>
                      <a:tailEnd/>
                    </a:ln>
                  </pic:spPr>
                </pic:pic>
              </a:graphicData>
            </a:graphic>
          </wp:inline>
        </w:drawing>
      </w:r>
    </w:p>
    <w:p w:rsidR="00D9795C" w:rsidRDefault="00D9795C" w:rsidP="00D9795C"/>
    <w:p w:rsidR="00D9795C" w:rsidRDefault="00D9795C" w:rsidP="00D9795C"/>
    <w:p w:rsidR="00D9795C" w:rsidRDefault="00D9795C" w:rsidP="00D9795C">
      <w:r>
        <w:rPr>
          <w:noProof/>
          <w:lang w:eastAsia="it-IT"/>
        </w:rPr>
        <w:lastRenderedPageBreak/>
        <w:drawing>
          <wp:inline distT="0" distB="0" distL="0" distR="0">
            <wp:extent cx="6362700" cy="2571750"/>
            <wp:effectExtent l="19050" t="0" r="0" b="0"/>
            <wp:docPr id="154" name="Oggetto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4"/>
                    <pic:cNvPicPr>
                      <a:picLocks noChangeAspect="1" noChangeArrowheads="1"/>
                    </pic:cNvPicPr>
                  </pic:nvPicPr>
                  <pic:blipFill>
                    <a:blip r:embed="rId56" cstate="print"/>
                    <a:srcRect/>
                    <a:stretch>
                      <a:fillRect/>
                    </a:stretch>
                  </pic:blipFill>
                  <pic:spPr bwMode="auto">
                    <a:xfrm>
                      <a:off x="0" y="0"/>
                      <a:ext cx="6362700" cy="2571750"/>
                    </a:xfrm>
                    <a:prstGeom prst="rect">
                      <a:avLst/>
                    </a:prstGeom>
                    <a:noFill/>
                    <a:ln w="9525">
                      <a:noFill/>
                      <a:miter lim="800000"/>
                      <a:headEnd/>
                      <a:tailEnd/>
                    </a:ln>
                  </pic:spPr>
                </pic:pic>
              </a:graphicData>
            </a:graphic>
          </wp:inline>
        </w:drawing>
      </w:r>
    </w:p>
    <w:p w:rsidR="00D9795C" w:rsidRDefault="00D9795C" w:rsidP="00D9795C"/>
    <w:p w:rsidR="00D9795C" w:rsidRDefault="00D9795C" w:rsidP="00D9795C">
      <w:r>
        <w:rPr>
          <w:noProof/>
          <w:lang w:eastAsia="it-IT"/>
        </w:rPr>
        <w:drawing>
          <wp:inline distT="0" distB="0" distL="0" distR="0">
            <wp:extent cx="5762625" cy="3667125"/>
            <wp:effectExtent l="19050" t="0" r="9525" b="0"/>
            <wp:docPr id="155" name="Oggetto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5"/>
                    <pic:cNvPicPr>
                      <a:picLocks noChangeAspect="1" noChangeArrowheads="1"/>
                    </pic:cNvPicPr>
                  </pic:nvPicPr>
                  <pic:blipFill>
                    <a:blip r:embed="rId57" cstate="print"/>
                    <a:srcRect/>
                    <a:stretch>
                      <a:fillRect/>
                    </a:stretch>
                  </pic:blipFill>
                  <pic:spPr bwMode="auto">
                    <a:xfrm>
                      <a:off x="0" y="0"/>
                      <a:ext cx="5762625" cy="3667125"/>
                    </a:xfrm>
                    <a:prstGeom prst="rect">
                      <a:avLst/>
                    </a:prstGeom>
                    <a:noFill/>
                    <a:ln w="9525">
                      <a:noFill/>
                      <a:miter lim="800000"/>
                      <a:headEnd/>
                      <a:tailEnd/>
                    </a:ln>
                  </pic:spPr>
                </pic:pic>
              </a:graphicData>
            </a:graphic>
          </wp:inline>
        </w:drawing>
      </w:r>
    </w:p>
    <w:p w:rsidR="00D9795C" w:rsidRDefault="00D9795C" w:rsidP="00D9795C">
      <w:r>
        <w:rPr>
          <w:noProof/>
          <w:lang w:eastAsia="it-IT"/>
        </w:rPr>
        <w:lastRenderedPageBreak/>
        <w:drawing>
          <wp:inline distT="0" distB="0" distL="0" distR="0">
            <wp:extent cx="5886450" cy="3295650"/>
            <wp:effectExtent l="19050" t="0" r="0" b="0"/>
            <wp:docPr id="156" name="Oggetto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6"/>
                    <pic:cNvPicPr>
                      <a:picLocks noChangeAspect="1" noChangeArrowheads="1"/>
                    </pic:cNvPicPr>
                  </pic:nvPicPr>
                  <pic:blipFill>
                    <a:blip r:embed="rId58" cstate="print"/>
                    <a:srcRect/>
                    <a:stretch>
                      <a:fillRect/>
                    </a:stretch>
                  </pic:blipFill>
                  <pic:spPr bwMode="auto">
                    <a:xfrm>
                      <a:off x="0" y="0"/>
                      <a:ext cx="5886450" cy="3295650"/>
                    </a:xfrm>
                    <a:prstGeom prst="rect">
                      <a:avLst/>
                    </a:prstGeom>
                    <a:noFill/>
                    <a:ln w="9525">
                      <a:noFill/>
                      <a:miter lim="800000"/>
                      <a:headEnd/>
                      <a:tailEnd/>
                    </a:ln>
                  </pic:spPr>
                </pic:pic>
              </a:graphicData>
            </a:graphic>
          </wp:inline>
        </w:drawing>
      </w:r>
    </w:p>
    <w:p w:rsidR="00D9795C" w:rsidRDefault="00D9795C" w:rsidP="00D9795C"/>
    <w:p w:rsidR="00D9795C" w:rsidRDefault="00D9795C" w:rsidP="00D9795C">
      <w:r>
        <w:rPr>
          <w:noProof/>
          <w:lang w:eastAsia="it-IT"/>
        </w:rPr>
        <w:drawing>
          <wp:inline distT="0" distB="0" distL="0" distR="0">
            <wp:extent cx="6467475" cy="2895600"/>
            <wp:effectExtent l="19050" t="0" r="9525" b="0"/>
            <wp:docPr id="157" name="Oggetto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7"/>
                    <pic:cNvPicPr>
                      <a:picLocks noChangeAspect="1" noChangeArrowheads="1"/>
                    </pic:cNvPicPr>
                  </pic:nvPicPr>
                  <pic:blipFill>
                    <a:blip r:embed="rId59" cstate="print"/>
                    <a:srcRect/>
                    <a:stretch>
                      <a:fillRect/>
                    </a:stretch>
                  </pic:blipFill>
                  <pic:spPr bwMode="auto">
                    <a:xfrm>
                      <a:off x="0" y="0"/>
                      <a:ext cx="6467475" cy="2895600"/>
                    </a:xfrm>
                    <a:prstGeom prst="rect">
                      <a:avLst/>
                    </a:prstGeom>
                    <a:noFill/>
                    <a:ln w="9525">
                      <a:noFill/>
                      <a:miter lim="800000"/>
                      <a:headEnd/>
                      <a:tailEnd/>
                    </a:ln>
                  </pic:spPr>
                </pic:pic>
              </a:graphicData>
            </a:graphic>
          </wp:inline>
        </w:drawing>
      </w:r>
    </w:p>
    <w:p w:rsidR="00D9795C" w:rsidRDefault="00D9795C" w:rsidP="00D9795C"/>
    <w:p w:rsidR="00D9795C" w:rsidRDefault="00D9795C" w:rsidP="00D9795C"/>
    <w:p w:rsidR="00D9795C" w:rsidRDefault="00D9795C" w:rsidP="00D9795C"/>
    <w:p w:rsidR="00D9795C" w:rsidRDefault="00D9795C" w:rsidP="00D9795C"/>
    <w:p w:rsidR="00D9795C" w:rsidRDefault="00D9795C" w:rsidP="00D9795C"/>
    <w:p w:rsidR="00D9795C" w:rsidRDefault="00D9795C" w:rsidP="00D9795C"/>
    <w:p w:rsidR="00D9795C" w:rsidRDefault="00D9795C" w:rsidP="00D9795C"/>
    <w:p w:rsidR="00D9795C" w:rsidRDefault="00D9795C" w:rsidP="00D9795C">
      <w:r>
        <w:rPr>
          <w:noProof/>
          <w:lang w:eastAsia="it-IT"/>
        </w:rPr>
        <w:lastRenderedPageBreak/>
        <w:drawing>
          <wp:inline distT="0" distB="0" distL="0" distR="0">
            <wp:extent cx="6296025" cy="2676525"/>
            <wp:effectExtent l="38100" t="0" r="28575" b="809625"/>
            <wp:docPr id="158" name="Oggetto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8"/>
                    <pic:cNvPicPr>
                      <a:picLocks noChangeAspect="1" noChangeArrowheads="1"/>
                    </pic:cNvPicPr>
                  </pic:nvPicPr>
                  <pic:blipFill>
                    <a:blip r:embed="rId60" cstate="print"/>
                    <a:srcRect/>
                    <a:stretch>
                      <a:fillRect/>
                    </a:stretch>
                  </pic:blipFill>
                  <pic:spPr bwMode="auto">
                    <a:xfrm>
                      <a:off x="0" y="0"/>
                      <a:ext cx="6296025" cy="267652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D9795C" w:rsidRDefault="00D9795C" w:rsidP="00D9795C"/>
    <w:p w:rsidR="00D9795C" w:rsidRDefault="00D9795C" w:rsidP="00D9795C"/>
    <w:p w:rsidR="00D9795C" w:rsidRDefault="00D9795C" w:rsidP="00D9795C"/>
    <w:p w:rsidR="00D9795C" w:rsidRDefault="00D9795C" w:rsidP="00D9795C">
      <w:pPr>
        <w:jc w:val="center"/>
      </w:pPr>
      <w:r>
        <w:rPr>
          <w:noProof/>
          <w:lang w:eastAsia="it-IT"/>
        </w:rPr>
        <w:drawing>
          <wp:inline distT="0" distB="0" distL="0" distR="0">
            <wp:extent cx="6257925" cy="2762250"/>
            <wp:effectExtent l="19050" t="0" r="9525" b="0"/>
            <wp:docPr id="159" name="Oggetto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59"/>
                    <pic:cNvPicPr>
                      <a:picLocks noChangeAspect="1" noChangeArrowheads="1"/>
                    </pic:cNvPicPr>
                  </pic:nvPicPr>
                  <pic:blipFill>
                    <a:blip r:embed="rId61" cstate="print"/>
                    <a:srcRect/>
                    <a:stretch>
                      <a:fillRect/>
                    </a:stretch>
                  </pic:blipFill>
                  <pic:spPr bwMode="auto">
                    <a:xfrm>
                      <a:off x="0" y="0"/>
                      <a:ext cx="6257925" cy="2762250"/>
                    </a:xfrm>
                    <a:prstGeom prst="rect">
                      <a:avLst/>
                    </a:prstGeom>
                    <a:noFill/>
                    <a:ln w="9525">
                      <a:noFill/>
                      <a:miter lim="800000"/>
                      <a:headEnd/>
                      <a:tailEnd/>
                    </a:ln>
                  </pic:spPr>
                </pic:pic>
              </a:graphicData>
            </a:graphic>
          </wp:inline>
        </w:drawing>
      </w: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r>
        <w:rPr>
          <w:b/>
        </w:rPr>
        <w:t>Gestione delle Spese in conto residui  nell'esercizio finanziario 2011</w:t>
      </w:r>
    </w:p>
    <w:p w:rsidR="00D9795C" w:rsidRDefault="00D9795C" w:rsidP="00D9795C">
      <w:pPr>
        <w:tabs>
          <w:tab w:val="left" w:pos="10063"/>
        </w:tabs>
        <w:spacing w:line="360" w:lineRule="auto"/>
        <w:ind w:right="-2"/>
        <w:jc w:val="both"/>
      </w:pPr>
      <w:r>
        <w:rPr>
          <w:rFonts w:cs="Arial"/>
          <w:sz w:val="20"/>
          <w:szCs w:val="20"/>
        </w:rPr>
        <w:t>L'</w:t>
      </w:r>
      <w:r>
        <w:rPr>
          <w:sz w:val="20"/>
          <w:szCs w:val="20"/>
        </w:rPr>
        <w:t xml:space="preserve">anticipo nella scadenza dell’approvazione del rendiconto,  ha creato notevole difficoltà per il servizio finanziario nelle verifiche straordinarie da effettuarsi preliminarmente alla chiusura delle scritture contabili, soprattutto in tema di </w:t>
      </w:r>
      <w:proofErr w:type="spellStart"/>
      <w:r>
        <w:rPr>
          <w:sz w:val="20"/>
          <w:szCs w:val="20"/>
        </w:rPr>
        <w:t>riaccertamento</w:t>
      </w:r>
      <w:proofErr w:type="spellEnd"/>
      <w:r>
        <w:rPr>
          <w:sz w:val="20"/>
          <w:szCs w:val="20"/>
        </w:rPr>
        <w:t xml:space="preserve"> straordinario dei residui, per la quale tra l'altro alcuni settori hanno ritenuto di non dover procedere, seppure in presenza di  apposita richiesta inviata dal Settore Finanziario. Per quanto riguarda alcuni residui di questi settori, e precisamente residui passivi  riportati dalle annualità 2001 e precedenti, per le quali il Settore Finanziario non ha potuto riscontrare il requisito  di cui  al c. 2 dell'art. 190 del TUEL "</w:t>
      </w:r>
      <w:r>
        <w:rPr>
          <w:i/>
          <w:sz w:val="20"/>
          <w:szCs w:val="20"/>
          <w:u w:val="single"/>
        </w:rPr>
        <w:t xml:space="preserve">E' vietata la conservazione nel conto dei residui di somme non impegnate ai densi dell'art. 183" ,  </w:t>
      </w:r>
      <w:r>
        <w:rPr>
          <w:sz w:val="20"/>
          <w:szCs w:val="20"/>
        </w:rPr>
        <w:t>si è provveduto all'eliminazione d'ufficio. Nel quadro sottostante vengono riportati i dati dei residui passivi, distinti per titoli, da cui si  evince che la difficoltà maggiore nello smaltimento dei residui passivi è ancora  nel titolo II Spese per Investimenti  dove sono allocate circa l'80% delle somme.</w:t>
      </w:r>
    </w:p>
    <w:p w:rsidR="00D9795C" w:rsidRDefault="00D9795C" w:rsidP="00D9795C">
      <w:pPr>
        <w:jc w:val="both"/>
      </w:pPr>
      <w:r>
        <w:t>Significativa è l’analisi dei residui passivi . Da essa scaturisce una bassa capacità dell’Ente di smaltimento dei residui , in modo particolare  ancora al titolo secondo ove sono allocate le spese per investimenti.</w:t>
      </w:r>
    </w:p>
    <w:p w:rsidR="00D9795C" w:rsidRDefault="00D9795C" w:rsidP="00D9795C">
      <w:pPr>
        <w:jc w:val="both"/>
        <w:rPr>
          <w:color w:val="FF0000"/>
        </w:rPr>
      </w:pPr>
    </w:p>
    <w:tbl>
      <w:tblPr>
        <w:tblW w:w="0" w:type="auto"/>
        <w:tblLayout w:type="fixed"/>
        <w:tblCellMar>
          <w:left w:w="30" w:type="dxa"/>
          <w:right w:w="30" w:type="dxa"/>
        </w:tblCellMar>
        <w:tblLook w:val="04A0"/>
      </w:tblPr>
      <w:tblGrid>
        <w:gridCol w:w="1262"/>
        <w:gridCol w:w="1263"/>
        <w:gridCol w:w="1178"/>
        <w:gridCol w:w="1042"/>
        <w:gridCol w:w="1092"/>
        <w:gridCol w:w="1214"/>
        <w:gridCol w:w="1179"/>
        <w:gridCol w:w="1250"/>
      </w:tblGrid>
      <w:tr w:rsidR="00D9795C" w:rsidTr="00D9795C">
        <w:trPr>
          <w:trHeight w:val="550"/>
        </w:trPr>
        <w:tc>
          <w:tcPr>
            <w:tcW w:w="126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Titoli</w:t>
            </w:r>
          </w:p>
        </w:tc>
        <w:tc>
          <w:tcPr>
            <w:tcW w:w="1263"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Residui Passivi conservati al 01.01.2011</w:t>
            </w:r>
          </w:p>
        </w:tc>
        <w:tc>
          <w:tcPr>
            <w:tcW w:w="1178"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Pagamenti c/residui</w:t>
            </w:r>
          </w:p>
        </w:tc>
        <w:tc>
          <w:tcPr>
            <w:tcW w:w="104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 di smaltimento</w:t>
            </w:r>
          </w:p>
        </w:tc>
        <w:tc>
          <w:tcPr>
            <w:tcW w:w="109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Economie</w:t>
            </w:r>
          </w:p>
        </w:tc>
        <w:tc>
          <w:tcPr>
            <w:tcW w:w="1214"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Residui da riportare</w:t>
            </w:r>
          </w:p>
        </w:tc>
        <w:tc>
          <w:tcPr>
            <w:tcW w:w="1179"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Residui dalla Competenza</w:t>
            </w:r>
          </w:p>
        </w:tc>
        <w:tc>
          <w:tcPr>
            <w:tcW w:w="1250"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Totale residui da riportare</w:t>
            </w:r>
          </w:p>
        </w:tc>
      </w:tr>
      <w:tr w:rsidR="00D9795C" w:rsidTr="00D9795C">
        <w:trPr>
          <w:trHeight w:val="247"/>
        </w:trPr>
        <w:tc>
          <w:tcPr>
            <w:tcW w:w="126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1</w:t>
            </w:r>
          </w:p>
        </w:tc>
        <w:tc>
          <w:tcPr>
            <w:tcW w:w="1263"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2</w:t>
            </w:r>
          </w:p>
        </w:tc>
        <w:tc>
          <w:tcPr>
            <w:tcW w:w="1178"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4</w:t>
            </w:r>
          </w:p>
        </w:tc>
        <w:tc>
          <w:tcPr>
            <w:tcW w:w="104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5</w:t>
            </w:r>
          </w:p>
        </w:tc>
        <w:tc>
          <w:tcPr>
            <w:tcW w:w="109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6</w:t>
            </w:r>
          </w:p>
        </w:tc>
        <w:tc>
          <w:tcPr>
            <w:tcW w:w="1214"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7</w:t>
            </w:r>
          </w:p>
        </w:tc>
        <w:tc>
          <w:tcPr>
            <w:tcW w:w="1179"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8</w:t>
            </w:r>
          </w:p>
        </w:tc>
        <w:tc>
          <w:tcPr>
            <w:tcW w:w="1250"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9</w:t>
            </w:r>
          </w:p>
        </w:tc>
      </w:tr>
      <w:tr w:rsidR="00D9795C" w:rsidTr="00D9795C">
        <w:trPr>
          <w:trHeight w:val="336"/>
        </w:trPr>
        <w:tc>
          <w:tcPr>
            <w:tcW w:w="126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Titolo 1 - Spese Correnti</w:t>
            </w:r>
          </w:p>
        </w:tc>
        <w:tc>
          <w:tcPr>
            <w:tcW w:w="1263"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18.837.342,40 </w:t>
            </w:r>
          </w:p>
        </w:tc>
        <w:tc>
          <w:tcPr>
            <w:tcW w:w="1178"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9.552.331,12 </w:t>
            </w:r>
          </w:p>
        </w:tc>
        <w:tc>
          <w:tcPr>
            <w:tcW w:w="104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50,71%</w:t>
            </w:r>
          </w:p>
        </w:tc>
        <w:tc>
          <w:tcPr>
            <w:tcW w:w="109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1.115.482,81</w:t>
            </w:r>
          </w:p>
        </w:tc>
        <w:tc>
          <w:tcPr>
            <w:tcW w:w="1214"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8.169.528,47 </w:t>
            </w:r>
          </w:p>
        </w:tc>
        <w:tc>
          <w:tcPr>
            <w:tcW w:w="1179"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15.267.491,62 </w:t>
            </w:r>
          </w:p>
        </w:tc>
        <w:tc>
          <w:tcPr>
            <w:tcW w:w="1250"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23.437.020,09 </w:t>
            </w:r>
          </w:p>
        </w:tc>
      </w:tr>
      <w:tr w:rsidR="00D9795C" w:rsidTr="00D9795C">
        <w:trPr>
          <w:trHeight w:val="336"/>
        </w:trPr>
        <w:tc>
          <w:tcPr>
            <w:tcW w:w="126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Titolo 2: Spese in Conto capitale</w:t>
            </w:r>
          </w:p>
        </w:tc>
        <w:tc>
          <w:tcPr>
            <w:tcW w:w="1263"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85.399.907,69 </w:t>
            </w:r>
          </w:p>
        </w:tc>
        <w:tc>
          <w:tcPr>
            <w:tcW w:w="1178"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8.227.259,33 </w:t>
            </w:r>
          </w:p>
        </w:tc>
        <w:tc>
          <w:tcPr>
            <w:tcW w:w="104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9,63%</w:t>
            </w:r>
          </w:p>
        </w:tc>
        <w:tc>
          <w:tcPr>
            <w:tcW w:w="109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700.414,41</w:t>
            </w:r>
          </w:p>
        </w:tc>
        <w:tc>
          <w:tcPr>
            <w:tcW w:w="1214"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76.472.233,95 </w:t>
            </w:r>
          </w:p>
        </w:tc>
        <w:tc>
          <w:tcPr>
            <w:tcW w:w="1179"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14.224.958,00 </w:t>
            </w:r>
          </w:p>
        </w:tc>
        <w:tc>
          <w:tcPr>
            <w:tcW w:w="1250"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90.697.191,95</w:t>
            </w:r>
          </w:p>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w:t>
            </w:r>
          </w:p>
        </w:tc>
      </w:tr>
      <w:tr w:rsidR="00D9795C" w:rsidTr="00D9795C">
        <w:trPr>
          <w:trHeight w:val="494"/>
        </w:trPr>
        <w:tc>
          <w:tcPr>
            <w:tcW w:w="2525" w:type="dxa"/>
            <w:gridSpan w:val="2"/>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Titolo 3 : Spese per Rimborso di Prestiti</w:t>
            </w:r>
          </w:p>
        </w:tc>
        <w:tc>
          <w:tcPr>
            <w:tcW w:w="1178" w:type="dxa"/>
            <w:tcBorders>
              <w:top w:val="single" w:sz="6" w:space="0" w:color="auto"/>
              <w:left w:val="single" w:sz="6" w:space="0" w:color="auto"/>
              <w:bottom w:val="single" w:sz="6" w:space="0" w:color="auto"/>
              <w:right w:val="single" w:sz="6" w:space="0" w:color="auto"/>
            </w:tcBorders>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p>
        </w:tc>
        <w:tc>
          <w:tcPr>
            <w:tcW w:w="1042" w:type="dxa"/>
            <w:tcBorders>
              <w:top w:val="single" w:sz="6" w:space="0" w:color="auto"/>
              <w:left w:val="single" w:sz="6" w:space="0" w:color="auto"/>
              <w:bottom w:val="single" w:sz="6" w:space="0" w:color="auto"/>
              <w:right w:val="single" w:sz="6" w:space="0" w:color="auto"/>
            </w:tcBorders>
          </w:tcPr>
          <w:p w:rsidR="00D9795C" w:rsidRDefault="00D9795C">
            <w:pPr>
              <w:suppressAutoHyphens w:val="0"/>
              <w:autoSpaceDE w:val="0"/>
              <w:autoSpaceDN w:val="0"/>
              <w:adjustRightInd w:val="0"/>
              <w:spacing w:after="0" w:line="240" w:lineRule="auto"/>
              <w:jc w:val="center"/>
              <w:rPr>
                <w:rFonts w:ascii="Arial" w:eastAsia="Times New Roman" w:hAnsi="Arial" w:cs="Arial"/>
                <w:color w:val="000000"/>
                <w:sz w:val="14"/>
                <w:szCs w:val="14"/>
                <w:lang w:eastAsia="it-IT"/>
              </w:rPr>
            </w:pPr>
          </w:p>
        </w:tc>
        <w:tc>
          <w:tcPr>
            <w:tcW w:w="1092" w:type="dxa"/>
            <w:tcBorders>
              <w:top w:val="single" w:sz="6" w:space="0" w:color="auto"/>
              <w:left w:val="single" w:sz="6" w:space="0" w:color="auto"/>
              <w:bottom w:val="single" w:sz="6" w:space="0" w:color="auto"/>
              <w:right w:val="single" w:sz="6" w:space="0" w:color="auto"/>
            </w:tcBorders>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p>
        </w:tc>
        <w:tc>
          <w:tcPr>
            <w:tcW w:w="1214" w:type="dxa"/>
            <w:tcBorders>
              <w:top w:val="single" w:sz="6" w:space="0" w:color="auto"/>
              <w:left w:val="single" w:sz="6" w:space="0" w:color="auto"/>
              <w:bottom w:val="single" w:sz="6" w:space="0" w:color="auto"/>
              <w:right w:val="single" w:sz="6" w:space="0" w:color="auto"/>
            </w:tcBorders>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p>
        </w:tc>
        <w:tc>
          <w:tcPr>
            <w:tcW w:w="1179" w:type="dxa"/>
            <w:tcBorders>
              <w:top w:val="single" w:sz="6" w:space="0" w:color="auto"/>
              <w:left w:val="single" w:sz="6" w:space="0" w:color="auto"/>
              <w:bottom w:val="single" w:sz="6" w:space="0" w:color="auto"/>
              <w:right w:val="single" w:sz="6" w:space="0" w:color="auto"/>
            </w:tcBorders>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p>
        </w:tc>
        <w:tc>
          <w:tcPr>
            <w:tcW w:w="1250" w:type="dxa"/>
            <w:tcBorders>
              <w:top w:val="single" w:sz="6" w:space="0" w:color="auto"/>
              <w:left w:val="single" w:sz="6" w:space="0" w:color="auto"/>
              <w:bottom w:val="single" w:sz="6" w:space="0" w:color="auto"/>
              <w:right w:val="single" w:sz="6" w:space="0" w:color="auto"/>
            </w:tcBorders>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p>
        </w:tc>
      </w:tr>
      <w:tr w:rsidR="00D9795C" w:rsidTr="00D9795C">
        <w:trPr>
          <w:trHeight w:val="494"/>
        </w:trPr>
        <w:tc>
          <w:tcPr>
            <w:tcW w:w="126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Titolo 4 : Spese per servizi per Conto di Terzi</w:t>
            </w:r>
          </w:p>
        </w:tc>
        <w:tc>
          <w:tcPr>
            <w:tcW w:w="1263"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63.273,40 </w:t>
            </w:r>
          </w:p>
        </w:tc>
        <w:tc>
          <w:tcPr>
            <w:tcW w:w="1178"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7.520,65 </w:t>
            </w:r>
          </w:p>
        </w:tc>
        <w:tc>
          <w:tcPr>
            <w:tcW w:w="104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11,89%</w:t>
            </w:r>
          </w:p>
        </w:tc>
        <w:tc>
          <w:tcPr>
            <w:tcW w:w="109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855,76 </w:t>
            </w:r>
          </w:p>
        </w:tc>
        <w:tc>
          <w:tcPr>
            <w:tcW w:w="1214"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54.896,99 </w:t>
            </w:r>
          </w:p>
        </w:tc>
        <w:tc>
          <w:tcPr>
            <w:tcW w:w="1179"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1.659,57 </w:t>
            </w:r>
          </w:p>
        </w:tc>
        <w:tc>
          <w:tcPr>
            <w:tcW w:w="1250"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color w:val="000000"/>
                <w:sz w:val="14"/>
                <w:szCs w:val="14"/>
                <w:lang w:eastAsia="it-IT"/>
              </w:rPr>
            </w:pPr>
            <w:r>
              <w:rPr>
                <w:rFonts w:ascii="Arial" w:eastAsia="Times New Roman" w:hAnsi="Arial" w:cs="Arial"/>
                <w:color w:val="000000"/>
                <w:sz w:val="14"/>
                <w:szCs w:val="14"/>
                <w:lang w:eastAsia="it-IT"/>
              </w:rPr>
              <w:t xml:space="preserve">               56.556,56 </w:t>
            </w:r>
          </w:p>
        </w:tc>
      </w:tr>
      <w:tr w:rsidR="00D9795C" w:rsidTr="00D9795C">
        <w:trPr>
          <w:trHeight w:val="247"/>
        </w:trPr>
        <w:tc>
          <w:tcPr>
            <w:tcW w:w="126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TOTALE</w:t>
            </w:r>
          </w:p>
        </w:tc>
        <w:tc>
          <w:tcPr>
            <w:tcW w:w="1263"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 xml:space="preserve"> 104.300.523,49 </w:t>
            </w:r>
          </w:p>
        </w:tc>
        <w:tc>
          <w:tcPr>
            <w:tcW w:w="1178"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 xml:space="preserve">   17.787.111,10 </w:t>
            </w:r>
          </w:p>
        </w:tc>
        <w:tc>
          <w:tcPr>
            <w:tcW w:w="104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center"/>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17,05%</w:t>
            </w:r>
          </w:p>
        </w:tc>
        <w:tc>
          <w:tcPr>
            <w:tcW w:w="1092"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1.816.752,98</w:t>
            </w:r>
          </w:p>
          <w:p w:rsidR="00D9795C" w:rsidRDefault="00D9795C">
            <w:pPr>
              <w:suppressAutoHyphens w:val="0"/>
              <w:autoSpaceDE w:val="0"/>
              <w:autoSpaceDN w:val="0"/>
              <w:adjustRightInd w:val="0"/>
              <w:spacing w:after="0" w:line="240" w:lineRule="auto"/>
              <w:jc w:val="right"/>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 xml:space="preserve"> </w:t>
            </w:r>
          </w:p>
        </w:tc>
        <w:tc>
          <w:tcPr>
            <w:tcW w:w="1214"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84.696.659,41</w:t>
            </w:r>
          </w:p>
        </w:tc>
        <w:tc>
          <w:tcPr>
            <w:tcW w:w="1179"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 xml:space="preserve"> 29.494.109,19 </w:t>
            </w:r>
          </w:p>
        </w:tc>
        <w:tc>
          <w:tcPr>
            <w:tcW w:w="1250" w:type="dxa"/>
            <w:tcBorders>
              <w:top w:val="single" w:sz="6" w:space="0" w:color="auto"/>
              <w:left w:val="single" w:sz="6" w:space="0" w:color="auto"/>
              <w:bottom w:val="single" w:sz="6" w:space="0" w:color="auto"/>
              <w:right w:val="single" w:sz="6" w:space="0" w:color="auto"/>
            </w:tcBorders>
            <w:hideMark/>
          </w:tcPr>
          <w:p w:rsidR="00D9795C" w:rsidRDefault="00D9795C">
            <w:pPr>
              <w:suppressAutoHyphens w:val="0"/>
              <w:autoSpaceDE w:val="0"/>
              <w:autoSpaceDN w:val="0"/>
              <w:adjustRightInd w:val="0"/>
              <w:spacing w:after="0" w:line="240" w:lineRule="auto"/>
              <w:jc w:val="right"/>
              <w:rPr>
                <w:rFonts w:ascii="Arial" w:eastAsia="Times New Roman" w:hAnsi="Arial" w:cs="Arial"/>
                <w:b/>
                <w:bCs/>
                <w:color w:val="000000"/>
                <w:sz w:val="14"/>
                <w:szCs w:val="14"/>
                <w:lang w:eastAsia="it-IT"/>
              </w:rPr>
            </w:pPr>
            <w:r>
              <w:rPr>
                <w:rFonts w:ascii="Arial" w:eastAsia="Times New Roman" w:hAnsi="Arial" w:cs="Arial"/>
                <w:b/>
                <w:bCs/>
                <w:color w:val="000000"/>
                <w:sz w:val="14"/>
                <w:szCs w:val="14"/>
                <w:lang w:eastAsia="it-IT"/>
              </w:rPr>
              <w:t xml:space="preserve">114.190.768,60 </w:t>
            </w:r>
          </w:p>
        </w:tc>
      </w:tr>
    </w:tbl>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jc w:val="both"/>
        <w:rPr>
          <w:color w:val="FF0000"/>
        </w:rPr>
      </w:pPr>
    </w:p>
    <w:p w:rsidR="00D9795C" w:rsidRDefault="00D9795C" w:rsidP="00D9795C">
      <w:pPr>
        <w:pStyle w:val="Titolo2"/>
        <w:numPr>
          <w:ilvl w:val="1"/>
          <w:numId w:val="7"/>
        </w:numPr>
        <w:jc w:val="center"/>
        <w:rPr>
          <w:rFonts w:ascii="Calibri" w:eastAsia="Calibri" w:hAnsi="Calibri" w:cs="Calibri"/>
          <w:bCs w:val="0"/>
          <w:i/>
        </w:rPr>
      </w:pPr>
      <w:r>
        <w:rPr>
          <w:rFonts w:ascii="Calibri" w:eastAsia="Calibri" w:hAnsi="Calibri" w:cs="Calibri"/>
          <w:bCs w:val="0"/>
          <w:i/>
        </w:rPr>
        <w:t>Interessi passivi e oneri finanziari diversi</w:t>
      </w:r>
    </w:p>
    <w:p w:rsidR="00D9795C" w:rsidRDefault="00D9795C" w:rsidP="00D9795C">
      <w:pPr>
        <w:suppressAutoHyphens w:val="0"/>
        <w:autoSpaceDE w:val="0"/>
        <w:spacing w:after="0" w:line="360" w:lineRule="auto"/>
        <w:jc w:val="both"/>
      </w:pPr>
      <w:r>
        <w:t xml:space="preserve"> Il livello dell'indebitamento, insieme al costo del personale, è la componente più rilevante della possibile rigidità del bilancio, dato che i bilanci futuri  dovranno finanziare il maggior onere per il rimborso delle quote annue di interesse e capitale con le normali risorse di parte corrente.  I prospetti seguenti riportano i dati di indebitamento ed il loro impatto sul bilancio dell'Ente. La spesa per interessi passivi sui prestiti, in ammortamento nell’anno 2011, ammonta ad euro 1.632.540,04. Il ricorso all’indebitamento è stato effettuato nel rispetto dell’art. 119 della Costituzione e degli articoli  203 e 204 del </w:t>
      </w:r>
      <w:proofErr w:type="spellStart"/>
      <w:r>
        <w:t>d.lgs</w:t>
      </w:r>
      <w:proofErr w:type="spellEnd"/>
      <w:r>
        <w:t xml:space="preserve"> 267/00, rispettando i limiti del citato articolo 204 e s.m. ed integrazioni. Il livello di indebitamento  come si evince dal prospetto  sottostante, nell’esercizio considerato è diminuito in quanto non si è avuta contrazione di nuovi mutui, anche per i limiti imposti dal Patto di Stabilità interno.  Infatti le spese finanziate con contrazione di mutuo gravano per intero sul saldo del patto.</w:t>
      </w:r>
    </w:p>
    <w:p w:rsidR="00D9795C" w:rsidRDefault="00D9795C" w:rsidP="00D9795C">
      <w:pPr>
        <w:suppressAutoHyphens w:val="0"/>
        <w:autoSpaceDE w:val="0"/>
        <w:spacing w:after="0" w:line="360" w:lineRule="auto"/>
        <w:jc w:val="both"/>
      </w:pPr>
      <w:r>
        <w:t xml:space="preserve">  </w:t>
      </w:r>
    </w:p>
    <w:p w:rsidR="00D9795C" w:rsidRDefault="00D9795C" w:rsidP="00D9795C">
      <w:pPr>
        <w:suppressAutoHyphens w:val="0"/>
        <w:autoSpaceDE w:val="0"/>
        <w:spacing w:after="0" w:line="360" w:lineRule="auto"/>
        <w:jc w:val="both"/>
      </w:pPr>
    </w:p>
    <w:tbl>
      <w:tblPr>
        <w:tblW w:w="10065" w:type="dxa"/>
        <w:tblLayout w:type="fixed"/>
        <w:tblCellMar>
          <w:left w:w="0" w:type="dxa"/>
          <w:right w:w="0" w:type="dxa"/>
        </w:tblCellMar>
        <w:tblLook w:val="04A0"/>
      </w:tblPr>
      <w:tblGrid>
        <w:gridCol w:w="941"/>
        <w:gridCol w:w="1327"/>
        <w:gridCol w:w="1276"/>
        <w:gridCol w:w="1276"/>
        <w:gridCol w:w="1276"/>
        <w:gridCol w:w="1275"/>
        <w:gridCol w:w="1276"/>
        <w:gridCol w:w="1418"/>
      </w:tblGrid>
      <w:tr w:rsidR="00D9795C" w:rsidTr="00D9795C">
        <w:trPr>
          <w:trHeight w:val="399"/>
        </w:trPr>
        <w:tc>
          <w:tcPr>
            <w:tcW w:w="10065" w:type="dxa"/>
            <w:gridSpan w:val="8"/>
            <w:tcBorders>
              <w:top w:val="nil"/>
              <w:left w:val="nil"/>
              <w:bottom w:val="single" w:sz="8" w:space="0" w:color="000000"/>
              <w:right w:val="nil"/>
            </w:tcBorders>
            <w:vAlign w:val="bottom"/>
            <w:hideMark/>
          </w:tcPr>
          <w:p w:rsidR="00D9795C" w:rsidRDefault="00D9795C">
            <w:pPr>
              <w:snapToGrid w:val="0"/>
              <w:jc w:val="center"/>
            </w:pPr>
            <w:r>
              <w:t xml:space="preserve">ACCENSIONE MUTUI E LIVELLO </w:t>
            </w:r>
            <w:proofErr w:type="spellStart"/>
            <w:r>
              <w:t>DI</w:t>
            </w:r>
            <w:proofErr w:type="spellEnd"/>
            <w:r>
              <w:t xml:space="preserve"> INDEBITAMENTO - ANNI 2001/2011</w:t>
            </w:r>
          </w:p>
        </w:tc>
      </w:tr>
      <w:tr w:rsidR="00D9795C" w:rsidTr="00D9795C">
        <w:trPr>
          <w:trHeight w:val="615"/>
        </w:trPr>
        <w:tc>
          <w:tcPr>
            <w:tcW w:w="941" w:type="dxa"/>
            <w:tcBorders>
              <w:top w:val="nil"/>
              <w:left w:val="single" w:sz="8" w:space="0" w:color="000000"/>
              <w:bottom w:val="single" w:sz="8" w:space="0" w:color="000000"/>
              <w:right w:val="nil"/>
            </w:tcBorders>
            <w:shd w:val="clear" w:color="auto" w:fill="C0C0C0"/>
            <w:tcMar>
              <w:top w:w="0" w:type="dxa"/>
              <w:left w:w="70" w:type="dxa"/>
              <w:bottom w:w="0" w:type="dxa"/>
              <w:right w:w="70" w:type="dxa"/>
            </w:tcMar>
            <w:vAlign w:val="center"/>
            <w:hideMark/>
          </w:tcPr>
          <w:p w:rsidR="00D9795C" w:rsidRDefault="00D9795C">
            <w:pPr>
              <w:snapToGrid w:val="0"/>
            </w:pPr>
            <w:r>
              <w:t>ANNO</w:t>
            </w:r>
          </w:p>
        </w:tc>
        <w:tc>
          <w:tcPr>
            <w:tcW w:w="1327" w:type="dxa"/>
            <w:tcBorders>
              <w:top w:val="nil"/>
              <w:left w:val="single" w:sz="4" w:space="0" w:color="000000"/>
              <w:bottom w:val="single" w:sz="8" w:space="0" w:color="000000"/>
              <w:right w:val="nil"/>
            </w:tcBorders>
            <w:shd w:val="clear" w:color="auto" w:fill="C0C0C0"/>
            <w:tcMar>
              <w:top w:w="0" w:type="dxa"/>
              <w:left w:w="70" w:type="dxa"/>
              <w:bottom w:w="0" w:type="dxa"/>
              <w:right w:w="70" w:type="dxa"/>
            </w:tcMar>
            <w:vAlign w:val="center"/>
            <w:hideMark/>
          </w:tcPr>
          <w:p w:rsidR="00D9795C" w:rsidRDefault="00D9795C">
            <w:pPr>
              <w:snapToGrid w:val="0"/>
            </w:pPr>
            <w:r>
              <w:t>DEBITO al 1.1</w:t>
            </w:r>
          </w:p>
        </w:tc>
        <w:tc>
          <w:tcPr>
            <w:tcW w:w="1276" w:type="dxa"/>
            <w:tcBorders>
              <w:top w:val="nil"/>
              <w:left w:val="single" w:sz="4" w:space="0" w:color="000000"/>
              <w:bottom w:val="single" w:sz="8" w:space="0" w:color="000000"/>
              <w:right w:val="nil"/>
            </w:tcBorders>
            <w:shd w:val="clear" w:color="auto" w:fill="C0C0C0"/>
            <w:tcMar>
              <w:top w:w="0" w:type="dxa"/>
              <w:left w:w="70" w:type="dxa"/>
              <w:bottom w:w="0" w:type="dxa"/>
              <w:right w:w="70" w:type="dxa"/>
            </w:tcMar>
            <w:vAlign w:val="center"/>
            <w:hideMark/>
          </w:tcPr>
          <w:p w:rsidR="00D9795C" w:rsidRDefault="00D9795C">
            <w:pPr>
              <w:snapToGrid w:val="0"/>
              <w:jc w:val="center"/>
            </w:pPr>
            <w:r>
              <w:t>Totale Rata annuale</w:t>
            </w:r>
          </w:p>
        </w:tc>
        <w:tc>
          <w:tcPr>
            <w:tcW w:w="1276" w:type="dxa"/>
            <w:tcBorders>
              <w:top w:val="nil"/>
              <w:left w:val="single" w:sz="4" w:space="0" w:color="000000"/>
              <w:bottom w:val="single" w:sz="8" w:space="0" w:color="000000"/>
              <w:right w:val="nil"/>
            </w:tcBorders>
            <w:shd w:val="clear" w:color="auto" w:fill="C0C0C0"/>
            <w:tcMar>
              <w:top w:w="0" w:type="dxa"/>
              <w:left w:w="70" w:type="dxa"/>
              <w:bottom w:w="0" w:type="dxa"/>
              <w:right w:w="70" w:type="dxa"/>
            </w:tcMar>
            <w:vAlign w:val="center"/>
            <w:hideMark/>
          </w:tcPr>
          <w:p w:rsidR="00D9795C" w:rsidRDefault="00D9795C">
            <w:pPr>
              <w:snapToGrid w:val="0"/>
            </w:pPr>
            <w:r>
              <w:t>Quota interessi</w:t>
            </w:r>
          </w:p>
        </w:tc>
        <w:tc>
          <w:tcPr>
            <w:tcW w:w="1276" w:type="dxa"/>
            <w:tcBorders>
              <w:top w:val="nil"/>
              <w:left w:val="single" w:sz="4" w:space="0" w:color="000000"/>
              <w:bottom w:val="single" w:sz="8" w:space="0" w:color="000000"/>
              <w:right w:val="nil"/>
            </w:tcBorders>
            <w:shd w:val="clear" w:color="auto" w:fill="C0C0C0"/>
            <w:tcMar>
              <w:top w:w="0" w:type="dxa"/>
              <w:left w:w="70" w:type="dxa"/>
              <w:bottom w:w="0" w:type="dxa"/>
              <w:right w:w="70" w:type="dxa"/>
            </w:tcMar>
            <w:vAlign w:val="center"/>
            <w:hideMark/>
          </w:tcPr>
          <w:p w:rsidR="00D9795C" w:rsidRDefault="00D9795C">
            <w:pPr>
              <w:snapToGrid w:val="0"/>
            </w:pPr>
            <w:r>
              <w:t>Quota capitale rimborsata</w:t>
            </w:r>
          </w:p>
        </w:tc>
        <w:tc>
          <w:tcPr>
            <w:tcW w:w="1275" w:type="dxa"/>
            <w:tcBorders>
              <w:top w:val="nil"/>
              <w:left w:val="single" w:sz="4" w:space="0" w:color="000000"/>
              <w:bottom w:val="single" w:sz="8" w:space="0" w:color="000000"/>
              <w:right w:val="nil"/>
            </w:tcBorders>
            <w:shd w:val="clear" w:color="auto" w:fill="C0C0C0"/>
            <w:tcMar>
              <w:top w:w="0" w:type="dxa"/>
              <w:left w:w="70" w:type="dxa"/>
              <w:bottom w:w="0" w:type="dxa"/>
              <w:right w:w="70" w:type="dxa"/>
            </w:tcMar>
            <w:vAlign w:val="center"/>
            <w:hideMark/>
          </w:tcPr>
          <w:p w:rsidR="00D9795C" w:rsidRDefault="00D9795C">
            <w:pPr>
              <w:snapToGrid w:val="0"/>
            </w:pPr>
            <w:r>
              <w:t>Mutui accesi a carico dell'Ente</w:t>
            </w:r>
          </w:p>
        </w:tc>
        <w:tc>
          <w:tcPr>
            <w:tcW w:w="1276" w:type="dxa"/>
            <w:tcBorders>
              <w:top w:val="nil"/>
              <w:left w:val="single" w:sz="4" w:space="0" w:color="000000"/>
              <w:bottom w:val="single" w:sz="8" w:space="0" w:color="000000"/>
              <w:right w:val="nil"/>
            </w:tcBorders>
            <w:shd w:val="clear" w:color="auto" w:fill="C0C0C0"/>
            <w:tcMar>
              <w:top w:w="0" w:type="dxa"/>
              <w:left w:w="70" w:type="dxa"/>
              <w:bottom w:w="0" w:type="dxa"/>
              <w:right w:w="70" w:type="dxa"/>
            </w:tcMar>
            <w:vAlign w:val="center"/>
            <w:hideMark/>
          </w:tcPr>
          <w:p w:rsidR="00D9795C" w:rsidRDefault="00D9795C">
            <w:pPr>
              <w:snapToGrid w:val="0"/>
            </w:pPr>
            <w:r>
              <w:t>DEBITO al 31.12</w:t>
            </w:r>
          </w:p>
        </w:tc>
        <w:tc>
          <w:tcPr>
            <w:tcW w:w="1418" w:type="dxa"/>
            <w:tcBorders>
              <w:top w:val="nil"/>
              <w:left w:val="single" w:sz="4" w:space="0" w:color="000000"/>
              <w:bottom w:val="single" w:sz="8" w:space="0" w:color="000000"/>
              <w:right w:val="single" w:sz="8" w:space="0" w:color="000000"/>
            </w:tcBorders>
            <w:shd w:val="clear" w:color="auto" w:fill="C0C0C0"/>
            <w:tcMar>
              <w:top w:w="0" w:type="dxa"/>
              <w:left w:w="70" w:type="dxa"/>
              <w:bottom w:w="0" w:type="dxa"/>
              <w:right w:w="70" w:type="dxa"/>
            </w:tcMar>
            <w:vAlign w:val="center"/>
            <w:hideMark/>
          </w:tcPr>
          <w:p w:rsidR="00D9795C" w:rsidRDefault="00D9795C">
            <w:pPr>
              <w:snapToGrid w:val="0"/>
            </w:pPr>
            <w:proofErr w:type="spellStart"/>
            <w:r>
              <w:t>Variaz</w:t>
            </w:r>
            <w:proofErr w:type="spellEnd"/>
            <w:r>
              <w:t xml:space="preserve">. </w:t>
            </w:r>
            <w:proofErr w:type="spellStart"/>
            <w:r>
              <w:t>Indebitam</w:t>
            </w:r>
            <w:proofErr w:type="spellEnd"/>
            <w:r>
              <w:t>.</w:t>
            </w:r>
          </w:p>
        </w:tc>
      </w:tr>
      <w:tr w:rsidR="00D9795C" w:rsidTr="00D9795C">
        <w:trPr>
          <w:trHeight w:val="495"/>
        </w:trPr>
        <w:tc>
          <w:tcPr>
            <w:tcW w:w="941" w:type="dxa"/>
            <w:tcBorders>
              <w:top w:val="nil"/>
              <w:left w:val="single" w:sz="8"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2001</w:t>
            </w:r>
          </w:p>
        </w:tc>
        <w:tc>
          <w:tcPr>
            <w:tcW w:w="1327"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24.196.080,12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2.788.585,14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1.516.556,91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1.272.028,23 </w:t>
            </w:r>
          </w:p>
        </w:tc>
        <w:tc>
          <w:tcPr>
            <w:tcW w:w="1275"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516.456,90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23.440.508,79 </w:t>
            </w:r>
          </w:p>
        </w:tc>
        <w:tc>
          <w:tcPr>
            <w:tcW w:w="1418" w:type="dxa"/>
            <w:tcBorders>
              <w:top w:val="nil"/>
              <w:left w:val="single" w:sz="4" w:space="0" w:color="000000"/>
              <w:bottom w:val="single" w:sz="4"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-755.571,33 </w:t>
            </w:r>
          </w:p>
        </w:tc>
      </w:tr>
      <w:tr w:rsidR="00D9795C" w:rsidTr="00D9795C">
        <w:trPr>
          <w:trHeight w:val="450"/>
        </w:trPr>
        <w:tc>
          <w:tcPr>
            <w:tcW w:w="941" w:type="dxa"/>
            <w:tcBorders>
              <w:top w:val="nil"/>
              <w:left w:val="single" w:sz="8"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2002</w:t>
            </w:r>
          </w:p>
        </w:tc>
        <w:tc>
          <w:tcPr>
            <w:tcW w:w="1327"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23.440.508,79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2.543.573,58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1.467.990,36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1.075.583,22 </w:t>
            </w:r>
          </w:p>
        </w:tc>
        <w:tc>
          <w:tcPr>
            <w:tcW w:w="1275"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366.683,48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22.731.609,05 </w:t>
            </w:r>
          </w:p>
        </w:tc>
        <w:tc>
          <w:tcPr>
            <w:tcW w:w="1418" w:type="dxa"/>
            <w:tcBorders>
              <w:top w:val="nil"/>
              <w:left w:val="single" w:sz="4" w:space="0" w:color="000000"/>
              <w:bottom w:val="single" w:sz="4"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-708.899,74 </w:t>
            </w:r>
          </w:p>
        </w:tc>
      </w:tr>
      <w:tr w:rsidR="00D9795C" w:rsidTr="00D9795C">
        <w:trPr>
          <w:trHeight w:val="402"/>
        </w:trPr>
        <w:tc>
          <w:tcPr>
            <w:tcW w:w="941" w:type="dxa"/>
            <w:tcBorders>
              <w:top w:val="nil"/>
              <w:left w:val="single" w:sz="8"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2003</w:t>
            </w:r>
          </w:p>
        </w:tc>
        <w:tc>
          <w:tcPr>
            <w:tcW w:w="1327"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22.731.609,05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2.573.530,94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1.417.682,39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1.155.848,55 </w:t>
            </w:r>
          </w:p>
        </w:tc>
        <w:tc>
          <w:tcPr>
            <w:tcW w:w="1275"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11.997.522,27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33.573.282,77 </w:t>
            </w:r>
          </w:p>
        </w:tc>
        <w:tc>
          <w:tcPr>
            <w:tcW w:w="1418" w:type="dxa"/>
            <w:tcBorders>
              <w:top w:val="nil"/>
              <w:left w:val="single" w:sz="4" w:space="0" w:color="000000"/>
              <w:bottom w:val="single" w:sz="4"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10.841.673,72 </w:t>
            </w:r>
          </w:p>
        </w:tc>
      </w:tr>
      <w:tr w:rsidR="00D9795C" w:rsidTr="00D9795C">
        <w:trPr>
          <w:trHeight w:val="402"/>
        </w:trPr>
        <w:tc>
          <w:tcPr>
            <w:tcW w:w="941" w:type="dxa"/>
            <w:tcBorders>
              <w:top w:val="nil"/>
              <w:left w:val="single" w:sz="8"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2004</w:t>
            </w:r>
          </w:p>
        </w:tc>
        <w:tc>
          <w:tcPr>
            <w:tcW w:w="1327"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33.573.282,77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3.395.922,08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1.893.842,11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1.502.079,97 </w:t>
            </w:r>
          </w:p>
        </w:tc>
        <w:tc>
          <w:tcPr>
            <w:tcW w:w="1275"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4.537.980,00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36.609.182,80 </w:t>
            </w:r>
          </w:p>
        </w:tc>
        <w:tc>
          <w:tcPr>
            <w:tcW w:w="1418" w:type="dxa"/>
            <w:tcBorders>
              <w:top w:val="nil"/>
              <w:left w:val="single" w:sz="4" w:space="0" w:color="000000"/>
              <w:bottom w:val="single" w:sz="4"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3.035.900,03 </w:t>
            </w:r>
          </w:p>
        </w:tc>
      </w:tr>
      <w:tr w:rsidR="00D9795C" w:rsidTr="00D9795C">
        <w:trPr>
          <w:trHeight w:val="402"/>
        </w:trPr>
        <w:tc>
          <w:tcPr>
            <w:tcW w:w="941" w:type="dxa"/>
            <w:tcBorders>
              <w:top w:val="nil"/>
              <w:left w:val="single" w:sz="8"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2005</w:t>
            </w:r>
          </w:p>
        </w:tc>
        <w:tc>
          <w:tcPr>
            <w:tcW w:w="1327"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36.609.182,80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3.746.999,20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2.013.184,81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1.733.814,39 </w:t>
            </w:r>
          </w:p>
        </w:tc>
        <w:tc>
          <w:tcPr>
            <w:tcW w:w="1275"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6.781.029,03 </w:t>
            </w:r>
          </w:p>
        </w:tc>
        <w:tc>
          <w:tcPr>
            <w:tcW w:w="1276" w:type="dxa"/>
            <w:tcBorders>
              <w:top w:val="nil"/>
              <w:left w:val="single" w:sz="4" w:space="0" w:color="000000"/>
              <w:bottom w:val="single" w:sz="4" w:space="0" w:color="000000"/>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41.656.397,44 </w:t>
            </w:r>
          </w:p>
        </w:tc>
        <w:tc>
          <w:tcPr>
            <w:tcW w:w="1418" w:type="dxa"/>
            <w:tcBorders>
              <w:top w:val="nil"/>
              <w:left w:val="single" w:sz="4" w:space="0" w:color="000000"/>
              <w:bottom w:val="single" w:sz="4"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5.047.214,64 </w:t>
            </w:r>
          </w:p>
        </w:tc>
      </w:tr>
      <w:tr w:rsidR="00D9795C" w:rsidTr="00D9795C">
        <w:trPr>
          <w:trHeight w:val="402"/>
        </w:trPr>
        <w:tc>
          <w:tcPr>
            <w:tcW w:w="941" w:type="dxa"/>
            <w:tcBorders>
              <w:top w:val="nil"/>
              <w:left w:val="single" w:sz="8"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bookmarkStart w:id="11" w:name="OLE_LINK4"/>
            <w:bookmarkStart w:id="12" w:name="OLE_LINK5"/>
            <w:bookmarkStart w:id="13" w:name="_Hlk225738862"/>
            <w:bookmarkEnd w:id="11"/>
            <w:bookmarkEnd w:id="12"/>
            <w:bookmarkEnd w:id="13"/>
            <w:r>
              <w:rPr>
                <w:sz w:val="18"/>
                <w:szCs w:val="18"/>
              </w:rPr>
              <w:t>2006</w:t>
            </w:r>
          </w:p>
        </w:tc>
        <w:tc>
          <w:tcPr>
            <w:tcW w:w="1327" w:type="dxa"/>
            <w:tcBorders>
              <w:top w:val="nil"/>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41.656.397,44 </w:t>
            </w:r>
          </w:p>
        </w:tc>
        <w:tc>
          <w:tcPr>
            <w:tcW w:w="1276" w:type="dxa"/>
            <w:tcBorders>
              <w:top w:val="nil"/>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3.970.196,57 </w:t>
            </w:r>
          </w:p>
        </w:tc>
        <w:tc>
          <w:tcPr>
            <w:tcW w:w="1276" w:type="dxa"/>
            <w:tcBorders>
              <w:top w:val="nil"/>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2.122.914,40 </w:t>
            </w:r>
          </w:p>
        </w:tc>
        <w:tc>
          <w:tcPr>
            <w:tcW w:w="1276" w:type="dxa"/>
            <w:tcBorders>
              <w:top w:val="nil"/>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1.847.282,39 </w:t>
            </w:r>
          </w:p>
        </w:tc>
        <w:tc>
          <w:tcPr>
            <w:tcW w:w="1275" w:type="dxa"/>
            <w:tcBorders>
              <w:top w:val="nil"/>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0,00 </w:t>
            </w:r>
          </w:p>
        </w:tc>
        <w:tc>
          <w:tcPr>
            <w:tcW w:w="1276" w:type="dxa"/>
            <w:tcBorders>
              <w:top w:val="nil"/>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39.809.115,05 </w:t>
            </w:r>
          </w:p>
        </w:tc>
        <w:tc>
          <w:tcPr>
            <w:tcW w:w="1418" w:type="dxa"/>
            <w:tcBorders>
              <w:top w:val="nil"/>
              <w:left w:val="single" w:sz="4" w:space="0" w:color="000000"/>
              <w:bottom w:val="nil"/>
              <w:right w:val="single" w:sz="8" w:space="0" w:color="000000"/>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-1.847.282,39 </w:t>
            </w:r>
          </w:p>
        </w:tc>
      </w:tr>
      <w:tr w:rsidR="00D9795C" w:rsidTr="00D9795C">
        <w:trPr>
          <w:trHeight w:val="402"/>
        </w:trPr>
        <w:tc>
          <w:tcPr>
            <w:tcW w:w="941" w:type="dxa"/>
            <w:tcBorders>
              <w:top w:val="single" w:sz="4" w:space="0" w:color="000000"/>
              <w:left w:val="single" w:sz="8"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2007</w:t>
            </w:r>
          </w:p>
        </w:tc>
        <w:tc>
          <w:tcPr>
            <w:tcW w:w="1327" w:type="dxa"/>
            <w:tcBorders>
              <w:top w:val="single" w:sz="4" w:space="0" w:color="000000"/>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39.809.115,05 </w:t>
            </w:r>
          </w:p>
        </w:tc>
        <w:tc>
          <w:tcPr>
            <w:tcW w:w="1276" w:type="dxa"/>
            <w:tcBorders>
              <w:top w:val="single" w:sz="4" w:space="0" w:color="000000"/>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4.045.346,66 </w:t>
            </w:r>
          </w:p>
        </w:tc>
        <w:tc>
          <w:tcPr>
            <w:tcW w:w="1276" w:type="dxa"/>
            <w:tcBorders>
              <w:top w:val="single" w:sz="4" w:space="0" w:color="000000"/>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2.027.286,89 </w:t>
            </w:r>
          </w:p>
        </w:tc>
        <w:tc>
          <w:tcPr>
            <w:tcW w:w="1276" w:type="dxa"/>
            <w:tcBorders>
              <w:top w:val="single" w:sz="4" w:space="0" w:color="000000"/>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2.018.059,77 </w:t>
            </w:r>
          </w:p>
        </w:tc>
        <w:tc>
          <w:tcPr>
            <w:tcW w:w="1275" w:type="dxa"/>
            <w:tcBorders>
              <w:top w:val="single" w:sz="4" w:space="0" w:color="000000"/>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 xml:space="preserve">10.952.287,61 </w:t>
            </w:r>
          </w:p>
        </w:tc>
        <w:tc>
          <w:tcPr>
            <w:tcW w:w="1276" w:type="dxa"/>
            <w:tcBorders>
              <w:top w:val="single" w:sz="4" w:space="0" w:color="000000"/>
              <w:left w:val="single" w:sz="4" w:space="0" w:color="000000"/>
              <w:bottom w:val="nil"/>
              <w:right w:val="nil"/>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41.036.468,17 </w:t>
            </w:r>
          </w:p>
        </w:tc>
        <w:tc>
          <w:tcPr>
            <w:tcW w:w="1418" w:type="dxa"/>
            <w:tcBorders>
              <w:top w:val="single" w:sz="4" w:space="0" w:color="000000"/>
              <w:left w:val="single" w:sz="4" w:space="0" w:color="000000"/>
              <w:bottom w:val="nil"/>
              <w:right w:val="single" w:sz="8" w:space="0" w:color="000000"/>
            </w:tcBorders>
            <w:tcMar>
              <w:top w:w="0" w:type="dxa"/>
              <w:left w:w="70" w:type="dxa"/>
              <w:bottom w:w="0" w:type="dxa"/>
              <w:right w:w="70" w:type="dxa"/>
            </w:tcMar>
            <w:vAlign w:val="bottom"/>
            <w:hideMark/>
          </w:tcPr>
          <w:p w:rsidR="00D9795C" w:rsidRDefault="00D9795C">
            <w:pPr>
              <w:snapToGrid w:val="0"/>
              <w:jc w:val="right"/>
              <w:rPr>
                <w:sz w:val="18"/>
                <w:szCs w:val="18"/>
              </w:rPr>
            </w:pPr>
            <w:r>
              <w:rPr>
                <w:sz w:val="18"/>
                <w:szCs w:val="18"/>
              </w:rPr>
              <w:t xml:space="preserve">1.227.353,12 </w:t>
            </w:r>
          </w:p>
        </w:tc>
      </w:tr>
      <w:tr w:rsidR="00D9795C" w:rsidTr="00D9795C">
        <w:trPr>
          <w:trHeight w:val="540"/>
        </w:trPr>
        <w:tc>
          <w:tcPr>
            <w:tcW w:w="941" w:type="dxa"/>
            <w:tcBorders>
              <w:top w:val="single" w:sz="8" w:space="0" w:color="000000"/>
              <w:left w:val="single" w:sz="8"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6"/>
                <w:szCs w:val="16"/>
              </w:rPr>
            </w:pPr>
            <w:r>
              <w:rPr>
                <w:bCs/>
                <w:sz w:val="16"/>
                <w:szCs w:val="16"/>
              </w:rPr>
              <w:t>31/12/2007</w:t>
            </w:r>
          </w:p>
        </w:tc>
        <w:tc>
          <w:tcPr>
            <w:tcW w:w="1327"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rPr>
                <w:bCs/>
                <w:sz w:val="18"/>
                <w:szCs w:val="18"/>
              </w:rPr>
            </w:pPr>
            <w:r>
              <w:rPr>
                <w:bCs/>
                <w:sz w:val="18"/>
                <w:szCs w:val="18"/>
              </w:rPr>
              <w:t>Operazione di rinegoziazione</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 xml:space="preserve">7.706.874,72 </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rPr>
                <w:bCs/>
                <w:sz w:val="18"/>
                <w:szCs w:val="18"/>
              </w:rPr>
            </w:pPr>
            <w:r>
              <w:rPr>
                <w:bCs/>
                <w:sz w:val="18"/>
                <w:szCs w:val="18"/>
              </w:rPr>
              <w:t> </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 xml:space="preserve">7.706.874,72 </w:t>
            </w:r>
          </w:p>
        </w:tc>
        <w:tc>
          <w:tcPr>
            <w:tcW w:w="1275"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 xml:space="preserve">10.602.287,61 </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rPr>
                <w:b/>
                <w:bCs/>
                <w:sz w:val="18"/>
                <w:szCs w:val="18"/>
              </w:rPr>
            </w:pPr>
            <w:r>
              <w:rPr>
                <w:b/>
                <w:bCs/>
                <w:sz w:val="18"/>
                <w:szCs w:val="18"/>
              </w:rPr>
              <w:t> </w:t>
            </w:r>
          </w:p>
        </w:tc>
        <w:tc>
          <w:tcPr>
            <w:tcW w:w="1418" w:type="dxa"/>
            <w:tcBorders>
              <w:top w:val="single" w:sz="8" w:space="0" w:color="000000"/>
              <w:left w:val="single" w:sz="4" w:space="0" w:color="000000"/>
              <w:bottom w:val="single" w:sz="8" w:space="0" w:color="000000"/>
              <w:right w:val="single" w:sz="8" w:space="0" w:color="000000"/>
            </w:tcBorders>
            <w:tcMar>
              <w:top w:w="0" w:type="dxa"/>
              <w:left w:w="70" w:type="dxa"/>
              <w:bottom w:w="0" w:type="dxa"/>
              <w:right w:w="70" w:type="dxa"/>
            </w:tcMar>
            <w:vAlign w:val="bottom"/>
            <w:hideMark/>
          </w:tcPr>
          <w:p w:rsidR="00D9795C" w:rsidRDefault="00D9795C">
            <w:pPr>
              <w:snapToGrid w:val="0"/>
              <w:rPr>
                <w:b/>
                <w:bCs/>
                <w:sz w:val="18"/>
                <w:szCs w:val="18"/>
              </w:rPr>
            </w:pPr>
            <w:r>
              <w:rPr>
                <w:b/>
                <w:bCs/>
                <w:sz w:val="18"/>
                <w:szCs w:val="18"/>
              </w:rPr>
              <w:t> </w:t>
            </w:r>
          </w:p>
        </w:tc>
      </w:tr>
      <w:tr w:rsidR="00D9795C" w:rsidTr="00D9795C">
        <w:trPr>
          <w:trHeight w:val="540"/>
        </w:trPr>
        <w:tc>
          <w:tcPr>
            <w:tcW w:w="941" w:type="dxa"/>
            <w:tcBorders>
              <w:top w:val="single" w:sz="8" w:space="0" w:color="000000"/>
              <w:left w:val="single" w:sz="8"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2008</w:t>
            </w:r>
          </w:p>
        </w:tc>
        <w:tc>
          <w:tcPr>
            <w:tcW w:w="1327"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38.757.540,42</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3.508.226,13</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1.878.710,66</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1.629.515,47</w:t>
            </w:r>
          </w:p>
        </w:tc>
        <w:tc>
          <w:tcPr>
            <w:tcW w:w="1275"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1.291.572,07</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38.419.597,02</w:t>
            </w:r>
          </w:p>
        </w:tc>
        <w:tc>
          <w:tcPr>
            <w:tcW w:w="1418" w:type="dxa"/>
            <w:tcBorders>
              <w:top w:val="single" w:sz="8" w:space="0" w:color="000000"/>
              <w:left w:val="single" w:sz="4" w:space="0" w:color="000000"/>
              <w:bottom w:val="single" w:sz="8"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-337.943,40</w:t>
            </w:r>
          </w:p>
        </w:tc>
      </w:tr>
      <w:tr w:rsidR="00D9795C" w:rsidTr="00D9795C">
        <w:trPr>
          <w:trHeight w:val="540"/>
        </w:trPr>
        <w:tc>
          <w:tcPr>
            <w:tcW w:w="941" w:type="dxa"/>
            <w:tcBorders>
              <w:top w:val="single" w:sz="8" w:space="0" w:color="000000"/>
              <w:left w:val="single" w:sz="8"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2009</w:t>
            </w:r>
          </w:p>
        </w:tc>
        <w:tc>
          <w:tcPr>
            <w:tcW w:w="1327"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38.419.597,02</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3.728.457,42</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1.821.723,86</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1.906.733,58</w:t>
            </w:r>
          </w:p>
        </w:tc>
        <w:tc>
          <w:tcPr>
            <w:tcW w:w="1275"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0</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36.512.863,44</w:t>
            </w:r>
          </w:p>
        </w:tc>
        <w:tc>
          <w:tcPr>
            <w:tcW w:w="1418" w:type="dxa"/>
            <w:tcBorders>
              <w:top w:val="single" w:sz="8" w:space="0" w:color="000000"/>
              <w:left w:val="single" w:sz="4" w:space="0" w:color="000000"/>
              <w:bottom w:val="single" w:sz="8"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-1.906.733,58</w:t>
            </w:r>
          </w:p>
        </w:tc>
      </w:tr>
      <w:tr w:rsidR="00D9795C" w:rsidTr="00D9795C">
        <w:trPr>
          <w:trHeight w:val="540"/>
        </w:trPr>
        <w:tc>
          <w:tcPr>
            <w:tcW w:w="941" w:type="dxa"/>
            <w:tcBorders>
              <w:top w:val="single" w:sz="8" w:space="0" w:color="000000"/>
              <w:left w:val="single" w:sz="8"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2010</w:t>
            </w:r>
          </w:p>
        </w:tc>
        <w:tc>
          <w:tcPr>
            <w:tcW w:w="1327"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36.512.863,44</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3.755.205,78</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1.737.710,84</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2.017.494,94</w:t>
            </w:r>
          </w:p>
        </w:tc>
        <w:tc>
          <w:tcPr>
            <w:tcW w:w="1275"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0</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34.495.368,50</w:t>
            </w:r>
          </w:p>
        </w:tc>
        <w:tc>
          <w:tcPr>
            <w:tcW w:w="1418" w:type="dxa"/>
            <w:tcBorders>
              <w:top w:val="single" w:sz="8" w:space="0" w:color="000000"/>
              <w:left w:val="single" w:sz="4" w:space="0" w:color="000000"/>
              <w:bottom w:val="single" w:sz="8"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-2.017.494,94</w:t>
            </w:r>
          </w:p>
        </w:tc>
      </w:tr>
      <w:tr w:rsidR="00D9795C" w:rsidTr="00D9795C">
        <w:trPr>
          <w:trHeight w:val="540"/>
        </w:trPr>
        <w:tc>
          <w:tcPr>
            <w:tcW w:w="941" w:type="dxa"/>
            <w:tcBorders>
              <w:top w:val="single" w:sz="8" w:space="0" w:color="000000"/>
              <w:left w:val="single" w:sz="8"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2011</w:t>
            </w:r>
          </w:p>
        </w:tc>
        <w:tc>
          <w:tcPr>
            <w:tcW w:w="1327"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34.495.368,74</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3.755.205,78</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1.632.540,04</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2.122.665,74</w:t>
            </w:r>
          </w:p>
        </w:tc>
        <w:tc>
          <w:tcPr>
            <w:tcW w:w="1275"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0</w:t>
            </w:r>
          </w:p>
        </w:tc>
        <w:tc>
          <w:tcPr>
            <w:tcW w:w="1276" w:type="dxa"/>
            <w:tcBorders>
              <w:top w:val="single" w:sz="8" w:space="0" w:color="000000"/>
              <w:left w:val="single" w:sz="4" w:space="0" w:color="000000"/>
              <w:bottom w:val="single" w:sz="8" w:space="0" w:color="000000"/>
              <w:right w:val="nil"/>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32.372.703,00</w:t>
            </w:r>
          </w:p>
        </w:tc>
        <w:tc>
          <w:tcPr>
            <w:tcW w:w="1418" w:type="dxa"/>
            <w:tcBorders>
              <w:top w:val="single" w:sz="8" w:space="0" w:color="000000"/>
              <w:left w:val="single" w:sz="4" w:space="0" w:color="000000"/>
              <w:bottom w:val="single" w:sz="8" w:space="0" w:color="000000"/>
              <w:right w:val="single" w:sz="8" w:space="0" w:color="000000"/>
            </w:tcBorders>
            <w:tcMar>
              <w:top w:w="0" w:type="dxa"/>
              <w:left w:w="70" w:type="dxa"/>
              <w:bottom w:w="0" w:type="dxa"/>
              <w:right w:w="70" w:type="dxa"/>
            </w:tcMar>
            <w:vAlign w:val="bottom"/>
            <w:hideMark/>
          </w:tcPr>
          <w:p w:rsidR="00D9795C" w:rsidRDefault="00D9795C">
            <w:pPr>
              <w:snapToGrid w:val="0"/>
              <w:jc w:val="right"/>
              <w:rPr>
                <w:bCs/>
                <w:sz w:val="18"/>
                <w:szCs w:val="18"/>
              </w:rPr>
            </w:pPr>
            <w:r>
              <w:rPr>
                <w:bCs/>
                <w:sz w:val="18"/>
                <w:szCs w:val="18"/>
              </w:rPr>
              <w:t>-2.122.665,74</w:t>
            </w:r>
          </w:p>
        </w:tc>
      </w:tr>
    </w:tbl>
    <w:p w:rsidR="00D9795C" w:rsidRDefault="00D9795C" w:rsidP="00D9795C">
      <w:pPr>
        <w:spacing w:line="360" w:lineRule="auto"/>
        <w:jc w:val="both"/>
        <w:rPr>
          <w:sz w:val="18"/>
          <w:szCs w:val="18"/>
        </w:rPr>
      </w:pPr>
    </w:p>
    <w:p w:rsidR="00D9795C" w:rsidRDefault="00D9795C" w:rsidP="00D9795C">
      <w:pPr>
        <w:spacing w:line="360" w:lineRule="auto"/>
        <w:jc w:val="both"/>
        <w:rPr>
          <w:sz w:val="18"/>
          <w:szCs w:val="18"/>
        </w:rPr>
      </w:pPr>
    </w:p>
    <w:p w:rsidR="00D9795C" w:rsidRDefault="00D9795C" w:rsidP="00D9795C">
      <w:pPr>
        <w:spacing w:line="360" w:lineRule="auto"/>
        <w:jc w:val="both"/>
        <w:rPr>
          <w:sz w:val="18"/>
          <w:szCs w:val="18"/>
        </w:rPr>
      </w:pPr>
    </w:p>
    <w:p w:rsidR="00D9795C" w:rsidRDefault="00D9795C" w:rsidP="00D9795C">
      <w:pPr>
        <w:spacing w:line="360" w:lineRule="auto"/>
        <w:jc w:val="both"/>
        <w:rPr>
          <w:sz w:val="18"/>
          <w:szCs w:val="18"/>
        </w:rPr>
      </w:pPr>
    </w:p>
    <w:p w:rsidR="00D9795C" w:rsidRDefault="00D9795C" w:rsidP="00D9795C">
      <w:pPr>
        <w:spacing w:line="360" w:lineRule="auto"/>
        <w:jc w:val="center"/>
        <w:rPr>
          <w:sz w:val="24"/>
          <w:szCs w:val="24"/>
        </w:rPr>
      </w:pPr>
      <w:r>
        <w:rPr>
          <w:sz w:val="24"/>
          <w:szCs w:val="24"/>
        </w:rPr>
        <w:t>SPESE RIMBORSO PRESTITI</w:t>
      </w:r>
    </w:p>
    <w:p w:rsidR="00D9795C" w:rsidRDefault="00D9795C" w:rsidP="00D9795C">
      <w:pPr>
        <w:spacing w:line="360" w:lineRule="auto"/>
        <w:jc w:val="both"/>
        <w:rPr>
          <w:sz w:val="24"/>
          <w:szCs w:val="24"/>
        </w:rPr>
      </w:pPr>
    </w:p>
    <w:p w:rsidR="00D9795C" w:rsidRDefault="00D9795C" w:rsidP="00D9795C">
      <w:pPr>
        <w:spacing w:line="360" w:lineRule="auto"/>
        <w:jc w:val="center"/>
        <w:rPr>
          <w:sz w:val="18"/>
          <w:szCs w:val="18"/>
        </w:rPr>
      </w:pPr>
      <w:r>
        <w:rPr>
          <w:noProof/>
          <w:sz w:val="18"/>
          <w:szCs w:val="18"/>
          <w:lang w:eastAsia="it-IT"/>
        </w:rPr>
        <w:drawing>
          <wp:inline distT="0" distB="0" distL="0" distR="0">
            <wp:extent cx="5610225" cy="1714500"/>
            <wp:effectExtent l="19050" t="0" r="9525" b="0"/>
            <wp:docPr id="160" name="Oggetto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0"/>
                    <pic:cNvPicPr>
                      <a:picLocks noChangeAspect="1" noChangeArrowheads="1"/>
                    </pic:cNvPicPr>
                  </pic:nvPicPr>
                  <pic:blipFill>
                    <a:blip r:embed="rId62" cstate="print"/>
                    <a:srcRect/>
                    <a:stretch>
                      <a:fillRect/>
                    </a:stretch>
                  </pic:blipFill>
                  <pic:spPr bwMode="auto">
                    <a:xfrm>
                      <a:off x="0" y="0"/>
                      <a:ext cx="5610225" cy="1714500"/>
                    </a:xfrm>
                    <a:prstGeom prst="rect">
                      <a:avLst/>
                    </a:prstGeom>
                    <a:noFill/>
                    <a:ln w="9525">
                      <a:noFill/>
                      <a:miter lim="800000"/>
                      <a:headEnd/>
                      <a:tailEnd/>
                    </a:ln>
                  </pic:spPr>
                </pic:pic>
              </a:graphicData>
            </a:graphic>
          </wp:inline>
        </w:drawing>
      </w:r>
    </w:p>
    <w:p w:rsidR="00D9795C" w:rsidRDefault="00D9795C" w:rsidP="00D9795C">
      <w:pPr>
        <w:spacing w:line="360" w:lineRule="auto"/>
        <w:jc w:val="both"/>
        <w:rPr>
          <w:sz w:val="18"/>
          <w:szCs w:val="18"/>
        </w:rPr>
      </w:pPr>
    </w:p>
    <w:p w:rsidR="00D9795C" w:rsidRDefault="00D9795C" w:rsidP="00D9795C">
      <w:pPr>
        <w:spacing w:line="360" w:lineRule="auto"/>
        <w:jc w:val="center"/>
        <w:rPr>
          <w:sz w:val="18"/>
          <w:szCs w:val="18"/>
        </w:rPr>
      </w:pPr>
      <w:r>
        <w:rPr>
          <w:noProof/>
          <w:sz w:val="18"/>
          <w:szCs w:val="18"/>
          <w:lang w:eastAsia="it-IT"/>
        </w:rPr>
        <w:drawing>
          <wp:inline distT="0" distB="0" distL="0" distR="0">
            <wp:extent cx="6124575" cy="2762250"/>
            <wp:effectExtent l="19050" t="0" r="9525" b="0"/>
            <wp:docPr id="161" name="Oggetto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1"/>
                    <pic:cNvPicPr>
                      <a:picLocks noChangeAspect="1" noChangeArrowheads="1"/>
                    </pic:cNvPicPr>
                  </pic:nvPicPr>
                  <pic:blipFill>
                    <a:blip r:embed="rId63" cstate="print"/>
                    <a:srcRect/>
                    <a:stretch>
                      <a:fillRect/>
                    </a:stretch>
                  </pic:blipFill>
                  <pic:spPr bwMode="auto">
                    <a:xfrm>
                      <a:off x="0" y="0"/>
                      <a:ext cx="6124575" cy="2762250"/>
                    </a:xfrm>
                    <a:prstGeom prst="rect">
                      <a:avLst/>
                    </a:prstGeom>
                    <a:noFill/>
                    <a:ln w="9525">
                      <a:noFill/>
                      <a:miter lim="800000"/>
                      <a:headEnd/>
                      <a:tailEnd/>
                    </a:ln>
                  </pic:spPr>
                </pic:pic>
              </a:graphicData>
            </a:graphic>
          </wp:inline>
        </w:drawing>
      </w:r>
    </w:p>
    <w:p w:rsidR="00D9795C" w:rsidRDefault="00D9795C" w:rsidP="00D9795C">
      <w:pPr>
        <w:spacing w:line="360" w:lineRule="auto"/>
        <w:jc w:val="both"/>
        <w:rPr>
          <w:sz w:val="18"/>
          <w:szCs w:val="18"/>
        </w:rPr>
      </w:pPr>
    </w:p>
    <w:p w:rsidR="00D9795C" w:rsidRDefault="00D9795C" w:rsidP="00D9795C">
      <w:pPr>
        <w:spacing w:line="360" w:lineRule="auto"/>
        <w:jc w:val="both"/>
        <w:rPr>
          <w:sz w:val="18"/>
          <w:szCs w:val="18"/>
        </w:rPr>
      </w:pPr>
    </w:p>
    <w:p w:rsidR="00D9795C" w:rsidRDefault="00D9795C" w:rsidP="00D9795C">
      <w:pPr>
        <w:spacing w:line="360" w:lineRule="auto"/>
        <w:jc w:val="both"/>
      </w:pPr>
      <w:r>
        <w:t>I dati riportati nelle pagine seguenti evidenziano l'incidenza dei dati dell'indebitamento sulle spese correnti dell'Ente ed in generale l'impatto sul bilancio e la capacità dell'Ente di contrarre nuovi mutui.</w:t>
      </w:r>
    </w:p>
    <w:p w:rsidR="00D9795C" w:rsidRDefault="00D9795C" w:rsidP="00D9795C">
      <w:pPr>
        <w:rPr>
          <w:color w:val="FF0000"/>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r>
        <w:rPr>
          <w:b/>
          <w:noProof/>
          <w:lang w:eastAsia="it-IT"/>
        </w:rPr>
        <w:lastRenderedPageBreak/>
        <w:drawing>
          <wp:inline distT="0" distB="0" distL="0" distR="0">
            <wp:extent cx="6219825" cy="2438400"/>
            <wp:effectExtent l="19050" t="0" r="9525" b="0"/>
            <wp:docPr id="162" name="Oggetto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2"/>
                    <pic:cNvPicPr>
                      <a:picLocks noChangeAspect="1" noChangeArrowheads="1"/>
                    </pic:cNvPicPr>
                  </pic:nvPicPr>
                  <pic:blipFill>
                    <a:blip r:embed="rId64" cstate="print"/>
                    <a:srcRect/>
                    <a:stretch>
                      <a:fillRect/>
                    </a:stretch>
                  </pic:blipFill>
                  <pic:spPr bwMode="auto">
                    <a:xfrm>
                      <a:off x="0" y="0"/>
                      <a:ext cx="6219825" cy="2438400"/>
                    </a:xfrm>
                    <a:prstGeom prst="rect">
                      <a:avLst/>
                    </a:prstGeom>
                    <a:noFill/>
                    <a:ln w="9525">
                      <a:noFill/>
                      <a:miter lim="800000"/>
                      <a:headEnd/>
                      <a:tailEnd/>
                    </a:ln>
                  </pic:spPr>
                </pic:pic>
              </a:graphicData>
            </a:graphic>
          </wp:inline>
        </w:drawing>
      </w: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r>
        <w:rPr>
          <w:b/>
          <w:noProof/>
          <w:lang w:eastAsia="it-IT"/>
        </w:rPr>
        <w:drawing>
          <wp:inline distT="0" distB="0" distL="0" distR="0">
            <wp:extent cx="5429250" cy="2762250"/>
            <wp:effectExtent l="19050" t="0" r="0" b="0"/>
            <wp:docPr id="163" name="Oggetto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3"/>
                    <pic:cNvPicPr>
                      <a:picLocks noChangeAspect="1" noChangeArrowheads="1"/>
                    </pic:cNvPicPr>
                  </pic:nvPicPr>
                  <pic:blipFill>
                    <a:blip r:embed="rId65" cstate="print"/>
                    <a:srcRect/>
                    <a:stretch>
                      <a:fillRect/>
                    </a:stretch>
                  </pic:blipFill>
                  <pic:spPr bwMode="auto">
                    <a:xfrm>
                      <a:off x="0" y="0"/>
                      <a:ext cx="5429250" cy="2762250"/>
                    </a:xfrm>
                    <a:prstGeom prst="rect">
                      <a:avLst/>
                    </a:prstGeom>
                    <a:noFill/>
                    <a:ln w="9525">
                      <a:noFill/>
                      <a:miter lim="800000"/>
                      <a:headEnd/>
                      <a:tailEnd/>
                    </a:ln>
                  </pic:spPr>
                </pic:pic>
              </a:graphicData>
            </a:graphic>
          </wp:inline>
        </w:drawing>
      </w: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Pr>
        <w:jc w:val="center"/>
        <w:rPr>
          <w:b/>
        </w:rPr>
      </w:pPr>
    </w:p>
    <w:p w:rsidR="00D9795C" w:rsidRDefault="00D9795C" w:rsidP="00D9795C"/>
    <w:p w:rsidR="00D9795C" w:rsidRDefault="00D9795C" w:rsidP="00D9795C">
      <w:r>
        <w:t>Per quanto riguarda l’indebitamento permane una certa difficoltà dell’Ente nell’utilizzo dei mutui contratti dovuto al prolungarsi della realizzazione delle opere pubbliche come risulta dall'estratto conto della Cassa Depositi e Prestiti relativo ai mutui con residuo da erogare di seguito riportato.</w:t>
      </w:r>
    </w:p>
    <w:tbl>
      <w:tblPr>
        <w:tblW w:w="9921" w:type="dxa"/>
        <w:tblInd w:w="58" w:type="dxa"/>
        <w:tblCellMar>
          <w:left w:w="70" w:type="dxa"/>
          <w:right w:w="70" w:type="dxa"/>
        </w:tblCellMar>
        <w:tblLook w:val="04A0"/>
      </w:tblPr>
      <w:tblGrid>
        <w:gridCol w:w="905"/>
        <w:gridCol w:w="1716"/>
        <w:gridCol w:w="2680"/>
        <w:gridCol w:w="900"/>
        <w:gridCol w:w="1160"/>
        <w:gridCol w:w="980"/>
        <w:gridCol w:w="1580"/>
      </w:tblGrid>
      <w:tr w:rsidR="00D9795C" w:rsidTr="00D9795C">
        <w:trPr>
          <w:trHeight w:val="264"/>
        </w:trPr>
        <w:tc>
          <w:tcPr>
            <w:tcW w:w="2621"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Finanziamenti a carico dell'ente</w:t>
            </w:r>
          </w:p>
        </w:tc>
        <w:tc>
          <w:tcPr>
            <w:tcW w:w="26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0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16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Posizione</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 xml:space="preserve">Stato del </w:t>
            </w:r>
            <w:proofErr w:type="spellStart"/>
            <w:r>
              <w:rPr>
                <w:rFonts w:ascii="Times New Roman" w:eastAsia="Times New Roman" w:hAnsi="Times New Roman" w:cs="Arial"/>
                <w:b/>
                <w:bCs/>
                <w:color w:val="000000"/>
                <w:sz w:val="16"/>
                <w:szCs w:val="16"/>
                <w:lang w:eastAsia="it-IT"/>
              </w:rPr>
              <w:t>finanz</w:t>
            </w:r>
            <w:proofErr w:type="spellEnd"/>
            <w:r>
              <w:rPr>
                <w:rFonts w:ascii="Times New Roman" w:eastAsia="Times New Roman" w:hAnsi="Times New Roman" w:cs="Arial"/>
                <w:b/>
                <w:bCs/>
                <w:color w:val="000000"/>
                <w:sz w:val="16"/>
                <w:szCs w:val="16"/>
                <w:lang w:eastAsia="it-IT"/>
              </w:rPr>
              <w:t>.</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Opera</w:t>
            </w:r>
          </w:p>
        </w:tc>
        <w:tc>
          <w:tcPr>
            <w:tcW w:w="900"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 xml:space="preserve">Data </w:t>
            </w:r>
            <w:proofErr w:type="spellStart"/>
            <w:r>
              <w:rPr>
                <w:rFonts w:ascii="Times New Roman" w:eastAsia="Times New Roman" w:hAnsi="Times New Roman" w:cs="Arial"/>
                <w:b/>
                <w:bCs/>
                <w:color w:val="000000"/>
                <w:sz w:val="16"/>
                <w:szCs w:val="16"/>
                <w:lang w:eastAsia="it-IT"/>
              </w:rPr>
              <w:t>conc</w:t>
            </w:r>
            <w:proofErr w:type="spellEnd"/>
            <w:r>
              <w:rPr>
                <w:rFonts w:ascii="Times New Roman" w:eastAsia="Times New Roman" w:hAnsi="Times New Roman" w:cs="Arial"/>
                <w:b/>
                <w:bCs/>
                <w:color w:val="000000"/>
                <w:sz w:val="16"/>
                <w:szCs w:val="16"/>
                <w:lang w:eastAsia="it-IT"/>
              </w:rPr>
              <w:t>.</w:t>
            </w:r>
          </w:p>
        </w:tc>
        <w:tc>
          <w:tcPr>
            <w:tcW w:w="1160"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Importo</w:t>
            </w:r>
          </w:p>
        </w:tc>
        <w:tc>
          <w:tcPr>
            <w:tcW w:w="2560"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Imp. residuo</w:t>
            </w: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4204212/00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TECNICO</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25-mag-93</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1.291.142,25</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40.468,05</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4292616/00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IMMOBILE USO PUBBLICO</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18-set-96</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1.358.281,64</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103,94</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4296127/00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15-ott-96</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516.456,90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7.036,83</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4296128/00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19-nov-96</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539.697,46</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71.341,52</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4296129/00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15-ott-96</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472.558,06</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39.042,38</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4296130/00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15-ott-96</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537.115,18</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32.863,46</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4296503/00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19-nov-96</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1.549.370,70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1.436,05</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4398187/00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PROFESSIONALE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23-dic-05</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774.685,35</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774.685,35</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4422013/00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29-apr-03</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392.507,24</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7.742,62</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4429011/01</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29-lug-03</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242.218,29</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16.242,27</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4439766/00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25-feb-04</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877.980,00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1.910,71</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4441871/00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 xml:space="preserve">OPERE </w:t>
            </w:r>
            <w:proofErr w:type="spellStart"/>
            <w:r>
              <w:rPr>
                <w:rFonts w:ascii="Times New Roman" w:eastAsia="Times New Roman" w:hAnsi="Times New Roman" w:cs="Arial"/>
                <w:color w:val="000000"/>
                <w:sz w:val="16"/>
                <w:szCs w:val="16"/>
                <w:lang w:eastAsia="it-IT"/>
              </w:rPr>
              <w:t>DI</w:t>
            </w:r>
            <w:proofErr w:type="spellEnd"/>
            <w:r>
              <w:rPr>
                <w:rFonts w:ascii="Times New Roman" w:eastAsia="Times New Roman" w:hAnsi="Times New Roman" w:cs="Arial"/>
                <w:color w:val="000000"/>
                <w:sz w:val="16"/>
                <w:szCs w:val="16"/>
                <w:lang w:eastAsia="it-IT"/>
              </w:rPr>
              <w:t xml:space="preserve"> VIABILITA'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28-ott-03</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5.940.000,00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5.914.385,10</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4446680/00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28-gen-04</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300.000,00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6.006,90</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4470732/00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PONTE PROVINCIALE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26-gen-05</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1.093.849,50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1.093.849,50</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4474923/00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28-lug-05</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1.500.000,00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50.177,23</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4475065/00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VIADOTTO PROVINCIALE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28-lug-05</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1.000.000,00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26.543,59</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4482834/00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05-gen-06</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600.000,00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32.715,18</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4483482/00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15-dic-05</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1.593.000,00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54.766,78</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4515798/00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20-dic-07</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350.000,00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66.272,66</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4522332/00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IMMOBILE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23-ott-08</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300.000,00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1.770,19</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2621"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Totale residui</w:t>
            </w:r>
          </w:p>
        </w:tc>
        <w:tc>
          <w:tcPr>
            <w:tcW w:w="26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20</w:t>
            </w:r>
          </w:p>
        </w:tc>
        <w:tc>
          <w:tcPr>
            <w:tcW w:w="2140"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Totale importo residuo</w:t>
            </w:r>
          </w:p>
        </w:tc>
        <w:tc>
          <w:tcPr>
            <w:tcW w:w="1580" w:type="dxa"/>
            <w:noWrap/>
            <w:vAlign w:val="bottom"/>
            <w:hideMark/>
          </w:tcPr>
          <w:p w:rsidR="00D9795C" w:rsidRDefault="00D9795C">
            <w:pPr>
              <w:suppressAutoHyphens w:val="0"/>
              <w:spacing w:after="0" w:line="240" w:lineRule="auto"/>
              <w:jc w:val="right"/>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8.239.360,31</w:t>
            </w:r>
          </w:p>
        </w:tc>
      </w:tr>
      <w:tr w:rsidR="00D9795C" w:rsidTr="00D9795C">
        <w:trPr>
          <w:trHeight w:val="264"/>
        </w:trPr>
        <w:tc>
          <w:tcPr>
            <w:tcW w:w="5301" w:type="dxa"/>
            <w:gridSpan w:val="3"/>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Finanziamenti concessi in base a leggi speciali</w:t>
            </w:r>
          </w:p>
        </w:tc>
        <w:tc>
          <w:tcPr>
            <w:tcW w:w="90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16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Posizione</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Stato del finanziamento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Opera</w:t>
            </w:r>
          </w:p>
        </w:tc>
        <w:tc>
          <w:tcPr>
            <w:tcW w:w="900"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 xml:space="preserve">Data </w:t>
            </w:r>
            <w:proofErr w:type="spellStart"/>
            <w:r>
              <w:rPr>
                <w:rFonts w:ascii="Times New Roman" w:eastAsia="Times New Roman" w:hAnsi="Times New Roman" w:cs="Arial"/>
                <w:b/>
                <w:bCs/>
                <w:color w:val="000000"/>
                <w:sz w:val="16"/>
                <w:szCs w:val="16"/>
                <w:lang w:eastAsia="it-IT"/>
              </w:rPr>
              <w:t>conc</w:t>
            </w:r>
            <w:proofErr w:type="spellEnd"/>
            <w:r>
              <w:rPr>
                <w:rFonts w:ascii="Times New Roman" w:eastAsia="Times New Roman" w:hAnsi="Times New Roman" w:cs="Arial"/>
                <w:b/>
                <w:bCs/>
                <w:color w:val="000000"/>
                <w:sz w:val="16"/>
                <w:szCs w:val="16"/>
                <w:lang w:eastAsia="it-IT"/>
              </w:rPr>
              <w:t>.</w:t>
            </w:r>
          </w:p>
        </w:tc>
        <w:tc>
          <w:tcPr>
            <w:tcW w:w="1160" w:type="dxa"/>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Importo norma</w:t>
            </w:r>
          </w:p>
        </w:tc>
        <w:tc>
          <w:tcPr>
            <w:tcW w:w="2560"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Importo residuo</w:t>
            </w: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4180919/00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05-apr-90</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92.962,24</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9.511,80</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4180922/00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05-apr-90</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818.605,05</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37.579,20</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4180923/00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05-apr-90</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98.904,39</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7.443,96</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4180926/00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05-apr-90</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248.488,07</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26.331,21</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4180929/00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05-apr-90</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390.441,42</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6.271,62</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4180931/00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STRADE PROVINCIALI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05-apr-90</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441.570,65</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2.568,46</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4309836/00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PROFESSIONALE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03-dic-97</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122.658,51</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4.359,49</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4366305/00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PROFESSIONALE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25-giu-02</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139.443,36</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59,99</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4366305/01</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PROFESSIONALE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28-nov-02</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77.468,53</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9.074,43</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4405796/00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MAGISTRALE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28-nov-02</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160.101,64</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2.096,63</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4405797/00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PROFESSIONALE</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31-mar-04</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134.278,79</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31.905,03</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4405798/00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ISTITUTO TECNICO</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31-mar-04</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201.418,19</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22.715,64</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4479808/00</w:t>
            </w:r>
          </w:p>
        </w:tc>
        <w:tc>
          <w:tcPr>
            <w:tcW w:w="1716"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AMMORTAMENTO</w:t>
            </w:r>
          </w:p>
        </w:tc>
        <w:tc>
          <w:tcPr>
            <w:tcW w:w="2680" w:type="dxa"/>
            <w:noWrap/>
            <w:vAlign w:val="bottom"/>
            <w:hideMark/>
          </w:tcPr>
          <w:p w:rsidR="00D9795C" w:rsidRDefault="00D9795C">
            <w:pPr>
              <w:suppressAutoHyphens w:val="0"/>
              <w:spacing w:after="0" w:line="240" w:lineRule="auto"/>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INCARICHI PROFESSIONALI</w:t>
            </w: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26-ott-05</w:t>
            </w:r>
          </w:p>
        </w:tc>
        <w:tc>
          <w:tcPr>
            <w:tcW w:w="116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150.000,00</w:t>
            </w:r>
          </w:p>
        </w:tc>
        <w:tc>
          <w:tcPr>
            <w:tcW w:w="980" w:type="dxa"/>
            <w:noWrap/>
            <w:vAlign w:val="bottom"/>
            <w:hideMark/>
          </w:tcPr>
          <w:p w:rsidR="00D9795C" w:rsidRDefault="00D9795C">
            <w:pPr>
              <w:suppressAutoHyphens w:val="0"/>
              <w:spacing w:after="0" w:line="240" w:lineRule="auto"/>
              <w:jc w:val="right"/>
              <w:rPr>
                <w:rFonts w:ascii="Times New Roman" w:eastAsia="Times New Roman" w:hAnsi="Times New Roman" w:cs="Arial"/>
                <w:color w:val="000000"/>
                <w:sz w:val="16"/>
                <w:szCs w:val="16"/>
                <w:lang w:eastAsia="it-IT"/>
              </w:rPr>
            </w:pPr>
            <w:r>
              <w:rPr>
                <w:rFonts w:ascii="Times New Roman" w:eastAsia="Times New Roman" w:hAnsi="Times New Roman" w:cs="Arial"/>
                <w:color w:val="000000"/>
                <w:sz w:val="16"/>
                <w:szCs w:val="16"/>
                <w:lang w:eastAsia="it-IT"/>
              </w:rPr>
              <w:t>95.088,37</w:t>
            </w: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2621"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Totale residui</w:t>
            </w:r>
          </w:p>
        </w:tc>
        <w:tc>
          <w:tcPr>
            <w:tcW w:w="26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13</w:t>
            </w:r>
          </w:p>
        </w:tc>
        <w:tc>
          <w:tcPr>
            <w:tcW w:w="2140"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Totale importo residuo</w:t>
            </w:r>
          </w:p>
        </w:tc>
        <w:tc>
          <w:tcPr>
            <w:tcW w:w="1580" w:type="dxa"/>
            <w:noWrap/>
            <w:vAlign w:val="bottom"/>
            <w:hideMark/>
          </w:tcPr>
          <w:p w:rsidR="00D9795C" w:rsidRDefault="00D9795C">
            <w:pPr>
              <w:suppressAutoHyphens w:val="0"/>
              <w:spacing w:after="0" w:line="240" w:lineRule="auto"/>
              <w:jc w:val="right"/>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255.005,83</w:t>
            </w:r>
          </w:p>
        </w:tc>
      </w:tr>
      <w:tr w:rsidR="00D9795C" w:rsidTr="00D9795C">
        <w:trPr>
          <w:trHeight w:val="264"/>
        </w:trPr>
        <w:tc>
          <w:tcPr>
            <w:tcW w:w="905" w:type="dxa"/>
            <w:noWrap/>
            <w:vAlign w:val="bottom"/>
          </w:tcPr>
          <w:p w:rsidR="00D9795C" w:rsidRDefault="00D9795C">
            <w:pPr>
              <w:suppressAutoHyphens w:val="0"/>
              <w:spacing w:after="0" w:line="240" w:lineRule="auto"/>
              <w:rPr>
                <w:rFonts w:ascii="Times New Roman" w:eastAsia="Times New Roman" w:hAnsi="Times New Roman" w:cs="Times New Roman"/>
                <w:color w:val="000000"/>
                <w:sz w:val="16"/>
                <w:szCs w:val="16"/>
                <w:lang w:eastAsia="it-IT"/>
              </w:rPr>
            </w:pPr>
          </w:p>
        </w:tc>
        <w:tc>
          <w:tcPr>
            <w:tcW w:w="1716"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26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0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16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2621"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Totale residui</w:t>
            </w:r>
          </w:p>
        </w:tc>
        <w:tc>
          <w:tcPr>
            <w:tcW w:w="26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00" w:type="dxa"/>
            <w:noWrap/>
            <w:vAlign w:val="bottom"/>
            <w:hideMark/>
          </w:tcPr>
          <w:p w:rsidR="00D9795C" w:rsidRDefault="00D9795C">
            <w:pPr>
              <w:suppressAutoHyphens w:val="0"/>
              <w:spacing w:after="0" w:line="240" w:lineRule="auto"/>
              <w:jc w:val="right"/>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33</w:t>
            </w:r>
          </w:p>
        </w:tc>
        <w:tc>
          <w:tcPr>
            <w:tcW w:w="2140" w:type="dxa"/>
            <w:gridSpan w:val="2"/>
            <w:noWrap/>
            <w:vAlign w:val="bottom"/>
            <w:hideMark/>
          </w:tcPr>
          <w:p w:rsidR="00D9795C" w:rsidRDefault="00D9795C">
            <w:pPr>
              <w:suppressAutoHyphens w:val="0"/>
              <w:spacing w:after="0" w:line="240" w:lineRule="auto"/>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Totale importo residuo</w:t>
            </w:r>
          </w:p>
        </w:tc>
        <w:tc>
          <w:tcPr>
            <w:tcW w:w="1580" w:type="dxa"/>
            <w:noWrap/>
            <w:vAlign w:val="bottom"/>
            <w:hideMark/>
          </w:tcPr>
          <w:p w:rsidR="00D9795C" w:rsidRDefault="00D9795C">
            <w:pPr>
              <w:suppressAutoHyphens w:val="0"/>
              <w:spacing w:after="0" w:line="240" w:lineRule="auto"/>
              <w:jc w:val="right"/>
              <w:rPr>
                <w:rFonts w:ascii="Times New Roman" w:eastAsia="Times New Roman" w:hAnsi="Times New Roman" w:cs="Arial"/>
                <w:b/>
                <w:bCs/>
                <w:color w:val="000000"/>
                <w:sz w:val="16"/>
                <w:szCs w:val="16"/>
                <w:lang w:eastAsia="it-IT"/>
              </w:rPr>
            </w:pPr>
            <w:r>
              <w:rPr>
                <w:rFonts w:ascii="Times New Roman" w:eastAsia="Times New Roman" w:hAnsi="Times New Roman" w:cs="Arial"/>
                <w:b/>
                <w:bCs/>
                <w:color w:val="000000"/>
                <w:sz w:val="16"/>
                <w:szCs w:val="16"/>
                <w:lang w:eastAsia="it-IT"/>
              </w:rPr>
              <w:t>8.494.366,14</w:t>
            </w:r>
          </w:p>
        </w:tc>
      </w:tr>
      <w:tr w:rsidR="00D9795C" w:rsidTr="00D9795C">
        <w:trPr>
          <w:trHeight w:val="264"/>
        </w:trPr>
        <w:tc>
          <w:tcPr>
            <w:tcW w:w="905"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716"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26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0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16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r w:rsidR="00D9795C" w:rsidTr="00D9795C">
        <w:trPr>
          <w:trHeight w:val="264"/>
        </w:trPr>
        <w:tc>
          <w:tcPr>
            <w:tcW w:w="905"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716"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26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0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16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9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c>
          <w:tcPr>
            <w:tcW w:w="1580" w:type="dxa"/>
            <w:noWrap/>
            <w:vAlign w:val="bottom"/>
          </w:tcPr>
          <w:p w:rsidR="00D9795C" w:rsidRDefault="00D9795C">
            <w:pPr>
              <w:suppressAutoHyphens w:val="0"/>
              <w:spacing w:after="0" w:line="240" w:lineRule="auto"/>
              <w:rPr>
                <w:rFonts w:ascii="Arial" w:eastAsia="Times New Roman" w:hAnsi="Arial" w:cs="Arial"/>
                <w:sz w:val="16"/>
                <w:szCs w:val="16"/>
                <w:lang w:eastAsia="it-IT"/>
              </w:rPr>
            </w:pPr>
          </w:p>
        </w:tc>
      </w:tr>
    </w:tbl>
    <w:p w:rsidR="00D9795C" w:rsidRDefault="00D9795C" w:rsidP="00D9795C"/>
    <w:p w:rsidR="00D9795C" w:rsidRDefault="00D9795C" w:rsidP="00D9795C"/>
    <w:p w:rsidR="00D9795C" w:rsidRDefault="00D9795C" w:rsidP="00D9795C"/>
    <w:p w:rsidR="00D9795C" w:rsidRDefault="00D9795C" w:rsidP="00D9795C">
      <w:pPr>
        <w:pStyle w:val="Titolo2"/>
        <w:numPr>
          <w:ilvl w:val="1"/>
          <w:numId w:val="7"/>
        </w:numPr>
        <w:jc w:val="center"/>
      </w:pPr>
      <w:r>
        <w:lastRenderedPageBreak/>
        <w:t>Spese di personale</w:t>
      </w:r>
    </w:p>
    <w:p w:rsidR="00D9795C" w:rsidRDefault="00D9795C" w:rsidP="00D9795C"/>
    <w:p w:rsidR="00D9795C" w:rsidRDefault="00D9795C" w:rsidP="00D9795C">
      <w:pPr>
        <w:jc w:val="both"/>
        <w:rPr>
          <w:b/>
        </w:rPr>
      </w:pPr>
      <w:r>
        <w:t xml:space="preserve">Le spese per il personale dipendente, corrispondenti </w:t>
      </w:r>
      <w:r>
        <w:rPr>
          <w:b/>
        </w:rPr>
        <w:t>all’intervento 01</w:t>
      </w:r>
      <w:r>
        <w:t xml:space="preserve"> del bilancio,  esposte nel prospetto che segue,  nel triennio hanno subito, una lieve flessione nell’anno 2009 ed un nuovo rialzo nell'anno 2010 per effetto  di alcune assunzioni di personale a tempo determinato.</w:t>
      </w:r>
    </w:p>
    <w:p w:rsidR="00D9795C" w:rsidRDefault="00D9795C" w:rsidP="00D9795C">
      <w:pPr>
        <w:jc w:val="center"/>
        <w:rPr>
          <w:b/>
        </w:rPr>
      </w:pPr>
      <w:r>
        <w:rPr>
          <w:noProof/>
          <w:lang w:eastAsia="it-IT"/>
        </w:rPr>
        <w:drawing>
          <wp:inline distT="0" distB="0" distL="0" distR="0">
            <wp:extent cx="6229350" cy="2705100"/>
            <wp:effectExtent l="19050" t="0" r="0" b="0"/>
            <wp:docPr id="164" name="Oggetto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4"/>
                    <pic:cNvPicPr>
                      <a:picLocks noChangeAspect="1" noChangeArrowheads="1"/>
                    </pic:cNvPicPr>
                  </pic:nvPicPr>
                  <pic:blipFill>
                    <a:blip r:embed="rId66" cstate="print"/>
                    <a:srcRect/>
                    <a:stretch>
                      <a:fillRect/>
                    </a:stretch>
                  </pic:blipFill>
                  <pic:spPr bwMode="auto">
                    <a:xfrm>
                      <a:off x="0" y="0"/>
                      <a:ext cx="6229350" cy="2705100"/>
                    </a:xfrm>
                    <a:prstGeom prst="rect">
                      <a:avLst/>
                    </a:prstGeom>
                    <a:noFill/>
                    <a:ln w="9525">
                      <a:noFill/>
                      <a:miter lim="800000"/>
                      <a:headEnd/>
                      <a:tailEnd/>
                    </a:ln>
                  </pic:spPr>
                </pic:pic>
              </a:graphicData>
            </a:graphic>
          </wp:inline>
        </w:drawing>
      </w:r>
    </w:p>
    <w:p w:rsidR="00D9795C" w:rsidRDefault="00D9795C" w:rsidP="00D9795C">
      <w:pPr>
        <w:rPr>
          <w:b/>
        </w:rPr>
      </w:pPr>
    </w:p>
    <w:p w:rsidR="00D9795C" w:rsidRDefault="00D9795C" w:rsidP="00D9795C">
      <w:pPr>
        <w:jc w:val="center"/>
        <w:rPr>
          <w:b/>
        </w:rPr>
      </w:pPr>
      <w:r>
        <w:rPr>
          <w:b/>
          <w:noProof/>
          <w:lang w:eastAsia="it-IT"/>
        </w:rPr>
        <w:drawing>
          <wp:inline distT="0" distB="0" distL="0" distR="0">
            <wp:extent cx="6229350" cy="2333625"/>
            <wp:effectExtent l="19050" t="0" r="0" b="0"/>
            <wp:docPr id="165" name="Oggetto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65"/>
                    <pic:cNvPicPr>
                      <a:picLocks noChangeAspect="1" noChangeArrowheads="1"/>
                    </pic:cNvPicPr>
                  </pic:nvPicPr>
                  <pic:blipFill>
                    <a:blip r:embed="rId67" cstate="print"/>
                    <a:srcRect/>
                    <a:stretch>
                      <a:fillRect/>
                    </a:stretch>
                  </pic:blipFill>
                  <pic:spPr bwMode="auto">
                    <a:xfrm>
                      <a:off x="0" y="0"/>
                      <a:ext cx="6229350" cy="2333625"/>
                    </a:xfrm>
                    <a:prstGeom prst="rect">
                      <a:avLst/>
                    </a:prstGeom>
                    <a:noFill/>
                    <a:ln w="9525">
                      <a:noFill/>
                      <a:miter lim="800000"/>
                      <a:headEnd/>
                      <a:tailEnd/>
                    </a:ln>
                  </pic:spPr>
                </pic:pic>
              </a:graphicData>
            </a:graphic>
          </wp:inline>
        </w:drawing>
      </w: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p>
    <w:p w:rsidR="00D9795C" w:rsidRDefault="00D9795C" w:rsidP="00D9795C">
      <w:pPr>
        <w:rPr>
          <w:b/>
        </w:rPr>
      </w:pPr>
      <w:r>
        <w:rPr>
          <w:b/>
        </w:rPr>
        <w:t>Risultato della gestione totale di competenza</w:t>
      </w:r>
    </w:p>
    <w:p w:rsidR="00D9795C" w:rsidRDefault="00D9795C" w:rsidP="00D9795C">
      <w:pPr>
        <w:spacing w:line="360" w:lineRule="auto"/>
        <w:ind w:right="567"/>
        <w:jc w:val="both"/>
        <w:rPr>
          <w:rFonts w:cs="Arial"/>
          <w:sz w:val="20"/>
        </w:rPr>
      </w:pPr>
      <w:r>
        <w:t>l quadro riassuntivo della gestione2011, che segue,  riassume  la gestione finanziaria dell’esercizio  sia per la gestione competenza che per i residui con il risultato finale in termini di avanzo di amministrazione.</w:t>
      </w:r>
      <w:bookmarkStart w:id="14" w:name="_1333534509"/>
      <w:bookmarkStart w:id="15" w:name="_1333534561"/>
      <w:bookmarkEnd w:id="14"/>
      <w:bookmarkEnd w:id="15"/>
    </w:p>
    <w:p w:rsidR="00D9795C" w:rsidRDefault="00D9795C" w:rsidP="00D9795C">
      <w:pPr>
        <w:rPr>
          <w:rFonts w:cs="Arial"/>
          <w:b/>
          <w:bCs/>
          <w:u w:val="single"/>
        </w:rPr>
      </w:pPr>
      <w:r>
        <w:rPr>
          <w:rFonts w:cs="Arial"/>
          <w:b/>
          <w:bCs/>
          <w:u w:val="single"/>
        </w:rPr>
        <w:t>Conciliazione dei risultati finanziari</w:t>
      </w:r>
    </w:p>
    <w:p w:rsidR="00D9795C" w:rsidRDefault="00D9795C" w:rsidP="00D9795C">
      <w:pPr>
        <w:spacing w:line="360" w:lineRule="auto"/>
      </w:pPr>
      <w:r>
        <w:t xml:space="preserve">La conciliazione tra il risultato della gestione di competenza e il risultato di amministrazione scaturisce dai seguenti elementi: </w:t>
      </w:r>
      <w:bookmarkStart w:id="16" w:name="_1080903456"/>
      <w:bookmarkStart w:id="17" w:name="_1113721941"/>
      <w:bookmarkStart w:id="18" w:name="_1143275199"/>
      <w:bookmarkStart w:id="19" w:name="_1175067086"/>
      <w:bookmarkStart w:id="20" w:name="_1175338989"/>
      <w:bookmarkStart w:id="21" w:name="_1206463502"/>
      <w:bookmarkStart w:id="22" w:name="_1208348345"/>
      <w:bookmarkStart w:id="23" w:name="_1208348373"/>
      <w:bookmarkStart w:id="24" w:name="_1238049423"/>
      <w:bookmarkStart w:id="25" w:name="_1271090611"/>
      <w:bookmarkStart w:id="26" w:name="_1297529843"/>
      <w:bookmarkStart w:id="27" w:name="_1303504762"/>
      <w:bookmarkStart w:id="28" w:name="_1333534671"/>
      <w:bookmarkStart w:id="29" w:name="_1333535065"/>
      <w:bookmarkEnd w:id="16"/>
      <w:bookmarkEnd w:id="17"/>
      <w:bookmarkEnd w:id="18"/>
      <w:bookmarkEnd w:id="19"/>
      <w:bookmarkEnd w:id="20"/>
      <w:bookmarkEnd w:id="21"/>
      <w:bookmarkEnd w:id="22"/>
      <w:bookmarkEnd w:id="23"/>
      <w:bookmarkEnd w:id="24"/>
      <w:bookmarkEnd w:id="25"/>
      <w:bookmarkEnd w:id="26"/>
      <w:bookmarkEnd w:id="27"/>
      <w:bookmarkEnd w:id="28"/>
      <w:bookmarkEnd w:id="29"/>
      <w:r>
        <w:object w:dxaOrig="9442" w:dyaOrig="6216">
          <v:shape id="_x0000_i1064" type="#_x0000_t75" style="width:489pt;height:270.6pt" o:ole="" filled="t">
            <v:fill opacity="0" color2="black"/>
            <v:imagedata r:id="rId68" o:title=""/>
          </v:shape>
          <o:OLEObject Type="Embed" ProgID="Excel.Sheet.8" ShapeID="_x0000_i1064" DrawAspect="Content" ObjectID="_1404295185" r:id="rId69"/>
        </w:object>
      </w:r>
    </w:p>
    <w:p w:rsidR="00D9795C" w:rsidRDefault="00D9795C" w:rsidP="00D9795C">
      <w:pPr>
        <w:spacing w:line="360" w:lineRule="auto"/>
      </w:pPr>
    </w:p>
    <w:p w:rsidR="00D9795C" w:rsidRDefault="00D9795C" w:rsidP="00D9795C">
      <w:pPr>
        <w:spacing w:line="360" w:lineRule="auto"/>
      </w:pPr>
      <w:r>
        <w:t xml:space="preserve"> Infatti il  risultato d’amministrazione dell’esercizio 2011, presenta un avanzo di Euro  </w:t>
      </w:r>
      <w:r>
        <w:rPr>
          <w:b/>
          <w:u w:val="single"/>
        </w:rPr>
        <w:t xml:space="preserve">6.850.994,49 </w:t>
      </w:r>
      <w:r>
        <w:t>come risulta dal seguente prospetto:</w:t>
      </w:r>
      <w:bookmarkStart w:id="30" w:name="_1303504455"/>
      <w:bookmarkStart w:id="31" w:name="_1303504535"/>
      <w:bookmarkStart w:id="32" w:name="_1333535141"/>
      <w:bookmarkEnd w:id="30"/>
      <w:bookmarkEnd w:id="31"/>
      <w:bookmarkEnd w:id="32"/>
      <w:r>
        <w:t xml:space="preserve"> </w:t>
      </w:r>
      <w:r w:rsidR="004E062F">
        <w:object w:dxaOrig="9218" w:dyaOrig="7444">
          <v:shape id="_x0000_i1065" type="#_x0000_t75" style="width:510pt;height:364.2pt" o:ole="" filled="t">
            <v:fill opacity="0" color2="black"/>
            <v:imagedata r:id="rId70" o:title=""/>
          </v:shape>
          <o:OLEObject Type="Embed" ProgID="Excel.Sheet.8" ShapeID="_x0000_i1065" DrawAspect="Content" ObjectID="_1404295186" r:id="rId71"/>
        </w:object>
      </w: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p>
    <w:p w:rsidR="00D9795C" w:rsidRDefault="00D9795C" w:rsidP="00D9795C">
      <w:pPr>
        <w:spacing w:line="360" w:lineRule="auto"/>
        <w:ind w:right="567"/>
        <w:jc w:val="center"/>
        <w:rPr>
          <w:b/>
          <w:i/>
          <w:sz w:val="28"/>
          <w:szCs w:val="28"/>
          <w:u w:val="single"/>
        </w:rPr>
      </w:pPr>
      <w:r>
        <w:rPr>
          <w:b/>
          <w:i/>
          <w:sz w:val="28"/>
          <w:szCs w:val="28"/>
          <w:u w:val="single"/>
        </w:rPr>
        <w:t>Conto del Tesoriere e degli agenti contabili</w:t>
      </w:r>
    </w:p>
    <w:p w:rsidR="00D9795C" w:rsidRDefault="00D9795C" w:rsidP="00D9795C">
      <w:pPr>
        <w:spacing w:line="360" w:lineRule="auto"/>
        <w:ind w:right="567"/>
        <w:jc w:val="both"/>
      </w:pPr>
      <w:r>
        <w:rPr>
          <w:sz w:val="24"/>
          <w:szCs w:val="24"/>
        </w:rPr>
        <w:t xml:space="preserve"> </w:t>
      </w:r>
      <w:r>
        <w:t>Il Tesoriere Banca di Credito Cooperativo di Arborea ha reso il conto in data   ed il relativo verbale di discarico per l’Ente per la consegna della documentazione prevista.  La gestione finanziaria dallo stesso rendicontata,   corrisponde alle risultanze dell’Ente  nei seguenti dati:</w:t>
      </w:r>
    </w:p>
    <w:p w:rsidR="00D9795C" w:rsidRDefault="00D9795C" w:rsidP="00D9795C">
      <w:pPr>
        <w:widowControl w:val="0"/>
        <w:numPr>
          <w:ilvl w:val="0"/>
          <w:numId w:val="8"/>
        </w:numPr>
        <w:suppressAutoHyphens w:val="0"/>
        <w:overflowPunct w:val="0"/>
        <w:autoSpaceDE w:val="0"/>
        <w:autoSpaceDN w:val="0"/>
        <w:adjustRightInd w:val="0"/>
        <w:spacing w:after="150" w:line="240" w:lineRule="auto"/>
        <w:ind w:right="150"/>
        <w:jc w:val="both"/>
        <w:textAlignment w:val="baseline"/>
      </w:pPr>
      <w:r>
        <w:t>per numero di reversali e di mandati emessi e consegnati al Tesoriere rispettivamente 6396 e 9373;</w:t>
      </w:r>
    </w:p>
    <w:p w:rsidR="00D9795C" w:rsidRDefault="00D9795C" w:rsidP="00D9795C">
      <w:pPr>
        <w:widowControl w:val="0"/>
        <w:numPr>
          <w:ilvl w:val="0"/>
          <w:numId w:val="8"/>
        </w:numPr>
        <w:suppressAutoHyphens w:val="0"/>
        <w:overflowPunct w:val="0"/>
        <w:autoSpaceDE w:val="0"/>
        <w:autoSpaceDN w:val="0"/>
        <w:adjustRightInd w:val="0"/>
        <w:spacing w:after="150" w:line="240" w:lineRule="auto"/>
        <w:ind w:right="150"/>
        <w:jc w:val="both"/>
        <w:textAlignment w:val="baseline"/>
      </w:pPr>
      <w:r>
        <w:t xml:space="preserve">per l’importo totale di euro </w:t>
      </w:r>
      <w:r>
        <w:rPr>
          <w:b/>
          <w:u w:val="single"/>
        </w:rPr>
        <w:t>48.930.164,15</w:t>
      </w:r>
      <w:r>
        <w:t xml:space="preserve"> corrispondente alle reversali emesse e riscosse;</w:t>
      </w:r>
    </w:p>
    <w:p w:rsidR="00D9795C" w:rsidRDefault="00D9795C" w:rsidP="00D9795C">
      <w:pPr>
        <w:widowControl w:val="0"/>
        <w:numPr>
          <w:ilvl w:val="0"/>
          <w:numId w:val="8"/>
        </w:numPr>
        <w:suppressAutoHyphens w:val="0"/>
        <w:overflowPunct w:val="0"/>
        <w:autoSpaceDE w:val="0"/>
        <w:autoSpaceDN w:val="0"/>
        <w:adjustRightInd w:val="0"/>
        <w:spacing w:after="150" w:line="240" w:lineRule="auto"/>
        <w:ind w:right="150"/>
        <w:jc w:val="both"/>
        <w:textAlignment w:val="baseline"/>
      </w:pPr>
      <w:r>
        <w:t xml:space="preserve">per l’importo totale di euro  </w:t>
      </w:r>
      <w:r>
        <w:rPr>
          <w:b/>
          <w:u w:val="single"/>
        </w:rPr>
        <w:t>45.026.246,47</w:t>
      </w:r>
      <w:r>
        <w:t xml:space="preserve"> corrispondente ai mandati emessi e pagati.</w:t>
      </w:r>
    </w:p>
    <w:p w:rsidR="00D9795C" w:rsidRDefault="00D9795C" w:rsidP="00D9795C">
      <w:pPr>
        <w:spacing w:after="150"/>
        <w:ind w:left="150" w:right="150"/>
        <w:jc w:val="both"/>
      </w:pPr>
      <w:r>
        <w:t>Risulta  regolarmente presentato e approvato,  con determinazione del Settore Finanza e Bilancio n  67 del 21/12/2011 il rendiconto dell’Economo, mentre non sono pervenuti alcuni  rendiconti degli agenti a materia richiesti con nota  del 26/01/2011</w:t>
      </w:r>
    </w:p>
    <w:p w:rsidR="00D9795C" w:rsidRDefault="00D9795C" w:rsidP="00D9795C">
      <w:pPr>
        <w:spacing w:line="360" w:lineRule="auto"/>
        <w:ind w:right="-2"/>
        <w:jc w:val="both"/>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spacing w:line="360" w:lineRule="auto"/>
        <w:ind w:right="567"/>
        <w:jc w:val="center"/>
        <w:rPr>
          <w:b/>
          <w:i/>
          <w:sz w:val="28"/>
          <w:szCs w:val="28"/>
          <w:u w:val="single"/>
        </w:rPr>
      </w:pPr>
      <w:r>
        <w:rPr>
          <w:b/>
          <w:i/>
          <w:sz w:val="28"/>
          <w:szCs w:val="28"/>
          <w:u w:val="single"/>
        </w:rPr>
        <w:t>Debiti fuori bilancio</w:t>
      </w:r>
    </w:p>
    <w:p w:rsidR="00D9795C" w:rsidRDefault="00D9795C" w:rsidP="00D9795C">
      <w:pPr>
        <w:spacing w:before="240" w:line="360" w:lineRule="auto"/>
        <w:jc w:val="both"/>
      </w:pPr>
      <w:r>
        <w:t>L’ente ha provveduto nel corso del 2011 al riconoscimento  di debiti fuori bilancio per Euro</w:t>
      </w:r>
      <w:r>
        <w:rPr>
          <w:b/>
          <w:bCs/>
        </w:rPr>
        <w:t xml:space="preserve">   238.779,00 </w:t>
      </w:r>
      <w:r>
        <w:rPr>
          <w:bCs/>
        </w:rPr>
        <w:t>se</w:t>
      </w:r>
      <w:r>
        <w:t xml:space="preserve">condo la seguente tabella. </w:t>
      </w:r>
    </w:p>
    <w:bookmarkStart w:id="33" w:name="_1208273662"/>
    <w:bookmarkStart w:id="34" w:name="_1208274021"/>
    <w:bookmarkStart w:id="35" w:name="_1208352744"/>
    <w:bookmarkStart w:id="36" w:name="_1208353092"/>
    <w:bookmarkStart w:id="37" w:name="_1333535779"/>
    <w:bookmarkStart w:id="38" w:name="_1333535838"/>
    <w:bookmarkEnd w:id="33"/>
    <w:bookmarkEnd w:id="34"/>
    <w:bookmarkEnd w:id="35"/>
    <w:bookmarkEnd w:id="36"/>
    <w:bookmarkEnd w:id="37"/>
    <w:bookmarkEnd w:id="38"/>
    <w:p w:rsidR="00D9795C" w:rsidRDefault="00D9795C" w:rsidP="00D9795C">
      <w:pPr>
        <w:rPr>
          <w:color w:val="FF0000"/>
        </w:rPr>
      </w:pPr>
      <w:r>
        <w:object w:dxaOrig="9048" w:dyaOrig="3600">
          <v:shape id="_x0000_i1066" type="#_x0000_t75" style="width:473.4pt;height:162pt" o:ole="" filled="t">
            <v:fill opacity="0" color2="black"/>
            <v:imagedata r:id="rId72" o:title=""/>
          </v:shape>
          <o:OLEObject Type="Embed" ProgID="Excel.Sheet.8" ShapeID="_x0000_i1066" DrawAspect="Content" ObjectID="_1404295187" r:id="rId73"/>
        </w:object>
      </w:r>
    </w:p>
    <w:p w:rsidR="00D9795C" w:rsidRDefault="00D9795C" w:rsidP="00D9795C">
      <w:pPr>
        <w:rPr>
          <w:color w:val="FF0000"/>
        </w:rPr>
      </w:pPr>
      <w:r>
        <w:rPr>
          <w:color w:val="FF0000"/>
        </w:rPr>
        <w:t xml:space="preserve">    </w:t>
      </w: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pStyle w:val="Titolo3"/>
        <w:numPr>
          <w:ilvl w:val="2"/>
          <w:numId w:val="7"/>
        </w:numPr>
        <w:jc w:val="center"/>
      </w:pPr>
      <w:r>
        <w:lastRenderedPageBreak/>
        <w:t>Contabilità economico patrimoniale</w:t>
      </w:r>
    </w:p>
    <w:p w:rsidR="00D9795C" w:rsidRDefault="00D9795C" w:rsidP="00D9795C"/>
    <w:p w:rsidR="00D9795C" w:rsidRDefault="00D9795C" w:rsidP="00D9795C">
      <w:pPr>
        <w:pStyle w:val="Titolo1"/>
        <w:numPr>
          <w:ilvl w:val="0"/>
          <w:numId w:val="7"/>
        </w:numPr>
        <w:pBdr>
          <w:top w:val="single" w:sz="4" w:space="0" w:color="000000" w:shadow="1"/>
          <w:left w:val="single" w:sz="4" w:space="4" w:color="000000" w:shadow="1"/>
          <w:bottom w:val="single" w:sz="4" w:space="1" w:color="000000" w:shadow="1"/>
          <w:right w:val="single" w:sz="4" w:space="4" w:color="000000" w:shadow="1"/>
        </w:pBdr>
        <w:shd w:val="clear" w:color="auto" w:fill="FFFFFF"/>
        <w:jc w:val="center"/>
        <w:rPr>
          <w:sz w:val="28"/>
          <w:szCs w:val="28"/>
        </w:rPr>
      </w:pPr>
      <w:r>
        <w:rPr>
          <w:sz w:val="28"/>
          <w:szCs w:val="28"/>
        </w:rPr>
        <w:t xml:space="preserve">PROSPETTO </w:t>
      </w:r>
      <w:proofErr w:type="spellStart"/>
      <w:r>
        <w:rPr>
          <w:sz w:val="28"/>
          <w:szCs w:val="28"/>
        </w:rPr>
        <w:t>DI</w:t>
      </w:r>
      <w:proofErr w:type="spellEnd"/>
      <w:r>
        <w:rPr>
          <w:sz w:val="28"/>
          <w:szCs w:val="28"/>
        </w:rPr>
        <w:t xml:space="preserve"> CONCILIAZIONE</w:t>
      </w:r>
    </w:p>
    <w:p w:rsidR="00D9795C" w:rsidRDefault="00D9795C" w:rsidP="00D9795C">
      <w:pPr>
        <w:pStyle w:val="Intestazione"/>
        <w:tabs>
          <w:tab w:val="left" w:pos="708"/>
        </w:tabs>
        <w:rPr>
          <w:rFonts w:cs="Arial"/>
          <w:sz w:val="20"/>
        </w:rPr>
      </w:pPr>
    </w:p>
    <w:p w:rsidR="00D9795C" w:rsidRDefault="00D9795C" w:rsidP="00D9795C">
      <w:pPr>
        <w:spacing w:line="360" w:lineRule="auto"/>
        <w:jc w:val="both"/>
      </w:pPr>
      <w:r>
        <w:t>Nel prospetto di conciliazione sono assunti gli accertamenti e gli impegni finanziari risultanti dal conto del bilancio e sono rilevate le rettifiche e le integrazioni al fine di calcolare i valori economici e patrimoniali.</w:t>
      </w:r>
    </w:p>
    <w:p w:rsidR="00D9795C" w:rsidRDefault="00D9795C" w:rsidP="00D9795C">
      <w:pPr>
        <w:spacing w:line="360" w:lineRule="auto"/>
        <w:jc w:val="both"/>
      </w:pPr>
      <w:r>
        <w:t xml:space="preserve">Al fine della rilevazione dei componenti economici positivi, gli accertamenti finanziari di competenza sono stati rettificati, come indicato dall’articolo 229 del </w:t>
      </w:r>
      <w:proofErr w:type="spellStart"/>
      <w:r>
        <w:t>T.U.E.L.</w:t>
      </w:r>
      <w:proofErr w:type="spellEnd"/>
      <w:r>
        <w:t xml:space="preserve"> , rilevando i seguenti elementi:</w:t>
      </w:r>
    </w:p>
    <w:p w:rsidR="00D9795C" w:rsidRDefault="00D9795C" w:rsidP="00D9795C">
      <w:pPr>
        <w:tabs>
          <w:tab w:val="left" w:pos="720"/>
        </w:tabs>
        <w:spacing w:line="360" w:lineRule="auto"/>
        <w:ind w:left="720" w:hanging="360"/>
        <w:jc w:val="both"/>
      </w:pPr>
      <w:r>
        <w:t>a)</w:t>
      </w:r>
      <w:r>
        <w:tab/>
        <w:t>i risconti passivi e i ratei attivi;</w:t>
      </w:r>
    </w:p>
    <w:p w:rsidR="00D9795C" w:rsidRDefault="00D9795C" w:rsidP="00D9795C">
      <w:pPr>
        <w:tabs>
          <w:tab w:val="left" w:pos="720"/>
        </w:tabs>
        <w:spacing w:line="360" w:lineRule="auto"/>
        <w:ind w:left="720" w:hanging="360"/>
        <w:jc w:val="both"/>
      </w:pPr>
      <w:r>
        <w:t>b)</w:t>
      </w:r>
      <w:r>
        <w:tab/>
        <w:t>le variazioni in aumento o in diminuzione delle rimanenze;</w:t>
      </w:r>
    </w:p>
    <w:p w:rsidR="00D9795C" w:rsidRDefault="00D9795C" w:rsidP="00D9795C">
      <w:pPr>
        <w:tabs>
          <w:tab w:val="left" w:pos="720"/>
        </w:tabs>
        <w:spacing w:line="360" w:lineRule="auto"/>
        <w:ind w:left="720" w:hanging="360"/>
        <w:jc w:val="both"/>
      </w:pPr>
      <w:r>
        <w:t>c)</w:t>
      </w:r>
      <w:r>
        <w:tab/>
        <w:t>i costi capitalizzati costituiti dai costi sostenuti per la produzione in economia di valori da porre, dal punto di vista economico, a carico di diversi esercizi;</w:t>
      </w:r>
    </w:p>
    <w:p w:rsidR="00D9795C" w:rsidRDefault="00D9795C" w:rsidP="00D9795C">
      <w:pPr>
        <w:tabs>
          <w:tab w:val="left" w:pos="720"/>
        </w:tabs>
        <w:spacing w:line="360" w:lineRule="auto"/>
        <w:ind w:left="720" w:hanging="360"/>
        <w:jc w:val="both"/>
      </w:pPr>
      <w:r>
        <w:t>d)</w:t>
      </w:r>
      <w:r>
        <w:tab/>
        <w:t>le quote di ricavi già inserite nei risconti passivi di anni precedenti;</w:t>
      </w:r>
    </w:p>
    <w:p w:rsidR="00D9795C" w:rsidRDefault="00D9795C" w:rsidP="00D9795C">
      <w:pPr>
        <w:tabs>
          <w:tab w:val="left" w:pos="720"/>
        </w:tabs>
        <w:spacing w:line="360" w:lineRule="auto"/>
        <w:ind w:left="720" w:hanging="360"/>
        <w:jc w:val="both"/>
      </w:pPr>
      <w:r>
        <w:t>e)</w:t>
      </w:r>
      <w:r>
        <w:tab/>
        <w:t>le quote di ricavi pluriennali pari agli accertamenti degli introiti vincolati;</w:t>
      </w:r>
    </w:p>
    <w:p w:rsidR="00D9795C" w:rsidRDefault="00D9795C" w:rsidP="00D9795C">
      <w:pPr>
        <w:spacing w:line="360" w:lineRule="auto"/>
        <w:jc w:val="both"/>
      </w:pPr>
      <w:r>
        <w:t>Anche gli impegni finanziari di competenza, al fine della rilevazione dei componenti economici negativi, sono stati rettificati con la rilevazione dei seguenti elementi:</w:t>
      </w:r>
    </w:p>
    <w:p w:rsidR="00D9795C" w:rsidRDefault="00D9795C" w:rsidP="00D9795C">
      <w:pPr>
        <w:spacing w:line="360" w:lineRule="auto"/>
        <w:jc w:val="both"/>
      </w:pPr>
      <w:r>
        <w:t>-</w:t>
      </w:r>
      <w:r>
        <w:tab/>
        <w:t>i costi di esercizi futuri;</w:t>
      </w:r>
    </w:p>
    <w:p w:rsidR="00D9795C" w:rsidRDefault="00D9795C" w:rsidP="00D9795C">
      <w:pPr>
        <w:tabs>
          <w:tab w:val="left" w:pos="720"/>
        </w:tabs>
        <w:spacing w:line="360" w:lineRule="auto"/>
        <w:ind w:left="720" w:hanging="360"/>
        <w:jc w:val="both"/>
      </w:pPr>
      <w:r>
        <w:t>-</w:t>
      </w:r>
      <w:r>
        <w:tab/>
        <w:t>i risconti attivi ed i ratei passivi;</w:t>
      </w:r>
    </w:p>
    <w:p w:rsidR="00D9795C" w:rsidRDefault="00D9795C" w:rsidP="00D9795C">
      <w:pPr>
        <w:tabs>
          <w:tab w:val="left" w:pos="720"/>
        </w:tabs>
        <w:spacing w:line="360" w:lineRule="auto"/>
        <w:ind w:left="720" w:hanging="360"/>
        <w:jc w:val="both"/>
      </w:pPr>
      <w:r>
        <w:t>-</w:t>
      </w:r>
      <w:r>
        <w:tab/>
        <w:t>le variazioni in aumento o in diminuzione delle rimanenze;</w:t>
      </w:r>
    </w:p>
    <w:p w:rsidR="00D9795C" w:rsidRDefault="00D9795C" w:rsidP="00D9795C">
      <w:pPr>
        <w:tabs>
          <w:tab w:val="left" w:pos="720"/>
        </w:tabs>
        <w:spacing w:line="360" w:lineRule="auto"/>
        <w:ind w:left="720" w:hanging="360"/>
        <w:jc w:val="both"/>
      </w:pPr>
      <w:r>
        <w:t>-</w:t>
      </w:r>
      <w:r>
        <w:tab/>
        <w:t>le quote di costo già inserite nei risconti attivi di anni precedenti;</w:t>
      </w:r>
    </w:p>
    <w:p w:rsidR="00D9795C" w:rsidRDefault="00D9795C" w:rsidP="00D9795C">
      <w:pPr>
        <w:tabs>
          <w:tab w:val="left" w:pos="720"/>
        </w:tabs>
        <w:spacing w:line="360" w:lineRule="auto"/>
        <w:ind w:left="720" w:hanging="360"/>
        <w:jc w:val="both"/>
      </w:pPr>
      <w:r>
        <w:t>-</w:t>
      </w:r>
      <w:r>
        <w:tab/>
        <w:t>le quote di ammortamento economico di beni a valenza pluriennale e di costi capitalizzati;</w:t>
      </w:r>
    </w:p>
    <w:p w:rsidR="00D9795C" w:rsidRDefault="00D9795C" w:rsidP="00D9795C">
      <w:pPr>
        <w:tabs>
          <w:tab w:val="left" w:pos="720"/>
        </w:tabs>
        <w:spacing w:line="360" w:lineRule="auto"/>
        <w:ind w:left="720" w:hanging="360"/>
        <w:jc w:val="both"/>
      </w:pPr>
      <w:r>
        <w:t>-</w:t>
      </w:r>
      <w:r>
        <w:tab/>
        <w:t>l’imposta sul valore aggiunto per le attività effettuate in regime di impresa. Al prospetto di conciliazione sono allegate le carte di lavoro relative alla rettifiche ed integrazioni al fine di consentire il controllo delle stesse e l’utilizzo dei dati negli esercizi successivi.</w:t>
      </w:r>
    </w:p>
    <w:p w:rsidR="00D9795C" w:rsidRDefault="00D9795C" w:rsidP="00D9795C">
      <w:pPr>
        <w:spacing w:before="120" w:line="360" w:lineRule="auto"/>
        <w:jc w:val="both"/>
      </w:pPr>
      <w:r>
        <w:t xml:space="preserve">I valori finanziari correnti risultanti dal conto del bilancio ( accertamenti ed impegni), sono scomposti nel prospetto in valori economici e patrimoniali (attivo, passivo o conti d’ordine). </w:t>
      </w:r>
    </w:p>
    <w:p w:rsidR="00D9795C" w:rsidRDefault="00D9795C" w:rsidP="00D9795C">
      <w:pPr>
        <w:spacing w:before="120" w:line="360" w:lineRule="auto"/>
        <w:jc w:val="both"/>
      </w:pPr>
    </w:p>
    <w:p w:rsidR="00D9795C" w:rsidRDefault="00D9795C" w:rsidP="00D9795C">
      <w:pPr>
        <w:spacing w:before="120" w:line="360" w:lineRule="auto"/>
        <w:jc w:val="both"/>
      </w:pPr>
    </w:p>
    <w:p w:rsidR="00D9795C" w:rsidRDefault="00D9795C" w:rsidP="00D9795C">
      <w:pPr>
        <w:pStyle w:val="Titolo3"/>
        <w:numPr>
          <w:ilvl w:val="2"/>
          <w:numId w:val="7"/>
        </w:numPr>
      </w:pPr>
    </w:p>
    <w:p w:rsidR="004E062F" w:rsidRDefault="004E062F" w:rsidP="004E062F">
      <w:pPr>
        <w:pStyle w:val="Titolo1"/>
        <w:pBdr>
          <w:top w:val="single" w:sz="6" w:space="1" w:color="auto" w:shadow="1"/>
          <w:left w:val="single" w:sz="6" w:space="4" w:color="auto" w:shadow="1"/>
          <w:bottom w:val="single" w:sz="6" w:space="1" w:color="auto" w:shadow="1"/>
          <w:right w:val="single" w:sz="6" w:space="4" w:color="auto" w:shadow="1"/>
        </w:pBdr>
        <w:shd w:val="clear" w:color="auto" w:fill="FFFFFF"/>
        <w:jc w:val="center"/>
        <w:rPr>
          <w:sz w:val="28"/>
          <w:szCs w:val="28"/>
        </w:rPr>
      </w:pPr>
      <w:r>
        <w:rPr>
          <w:sz w:val="28"/>
          <w:szCs w:val="28"/>
        </w:rPr>
        <w:t>CONTO ECONOMICO</w:t>
      </w:r>
    </w:p>
    <w:p w:rsidR="004E062F" w:rsidRDefault="004E062F" w:rsidP="004E062F">
      <w:pPr>
        <w:pStyle w:val="Corpodeltesto2"/>
      </w:pPr>
      <w:r>
        <w:t xml:space="preserve"> </w:t>
      </w:r>
    </w:p>
    <w:p w:rsidR="004E062F" w:rsidRDefault="004E062F" w:rsidP="004E062F">
      <w:pPr>
        <w:pStyle w:val="Corpodeltesto3"/>
        <w:numPr>
          <w:ilvl w:val="12"/>
          <w:numId w:val="0"/>
        </w:numPr>
        <w:spacing w:line="360" w:lineRule="auto"/>
        <w:rPr>
          <w:sz w:val="24"/>
        </w:rPr>
      </w:pPr>
      <w:r>
        <w:rPr>
          <w:sz w:val="24"/>
        </w:rPr>
        <w:t>Nel conto economico della gestione sono rilevati i componenti positivi e negativi secondo criteri di competenza economica così sintetizzati:</w:t>
      </w:r>
    </w:p>
    <w:bookmarkStart w:id="39" w:name="_MON_1404294604"/>
    <w:bookmarkEnd w:id="39"/>
    <w:p w:rsidR="004E062F" w:rsidRDefault="006D5FA4" w:rsidP="004E062F">
      <w:pPr>
        <w:rPr>
          <w:rFonts w:cs="Arial"/>
          <w:b/>
          <w:sz w:val="20"/>
        </w:rPr>
      </w:pPr>
      <w:r w:rsidRPr="0023192C">
        <w:rPr>
          <w:rFonts w:cs="Arial"/>
          <w:b/>
          <w:sz w:val="20"/>
        </w:rPr>
        <w:object w:dxaOrig="7215" w:dyaOrig="3611">
          <v:shape id="_x0000_i1069" type="#_x0000_t75" style="width:354pt;height:177pt" o:ole="">
            <v:imagedata r:id="rId74" o:title=""/>
          </v:shape>
          <o:OLEObject Type="Embed" ProgID="Excel.Sheet.8" ShapeID="_x0000_i1069" DrawAspect="Content" ObjectID="_1404295188" r:id="rId75"/>
        </w:object>
      </w:r>
    </w:p>
    <w:p w:rsidR="004E062F" w:rsidRDefault="004E062F" w:rsidP="004E062F">
      <w:pPr>
        <w:rPr>
          <w:color w:val="FF0000"/>
        </w:rPr>
      </w:pPr>
    </w:p>
    <w:p w:rsidR="004E062F" w:rsidRDefault="004E062F" w:rsidP="004E062F">
      <w:pPr>
        <w:rPr>
          <w:color w:val="FF0000"/>
        </w:rPr>
      </w:pPr>
    </w:p>
    <w:p w:rsidR="004E062F" w:rsidRDefault="004E062F" w:rsidP="004E062F">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D9795C" w:rsidRDefault="00D9795C" w:rsidP="00D9795C">
      <w:pPr>
        <w:rPr>
          <w:color w:val="FF0000"/>
        </w:rPr>
      </w:pPr>
    </w:p>
    <w:p w:rsidR="004E062F" w:rsidRDefault="004E062F" w:rsidP="004E062F">
      <w:pPr>
        <w:pStyle w:val="Titolo1"/>
        <w:pBdr>
          <w:top w:val="single" w:sz="6" w:space="1" w:color="auto" w:shadow="1"/>
          <w:left w:val="single" w:sz="6" w:space="4" w:color="auto" w:shadow="1"/>
          <w:bottom w:val="single" w:sz="6" w:space="1" w:color="auto" w:shadow="1"/>
          <w:right w:val="single" w:sz="6" w:space="4" w:color="auto" w:shadow="1"/>
        </w:pBdr>
        <w:shd w:val="clear" w:color="auto" w:fill="FFFFFF"/>
        <w:jc w:val="center"/>
        <w:rPr>
          <w:sz w:val="28"/>
          <w:szCs w:val="28"/>
        </w:rPr>
      </w:pPr>
      <w:r>
        <w:rPr>
          <w:sz w:val="28"/>
          <w:szCs w:val="28"/>
        </w:rPr>
        <w:lastRenderedPageBreak/>
        <w:t>CONTO DEL PATRIMONIO</w:t>
      </w:r>
    </w:p>
    <w:p w:rsidR="004E062F" w:rsidRDefault="004E062F" w:rsidP="004E062F"/>
    <w:p w:rsidR="004E062F" w:rsidRPr="00CE71A5" w:rsidRDefault="004E062F" w:rsidP="004E062F">
      <w:pPr>
        <w:numPr>
          <w:ilvl w:val="12"/>
          <w:numId w:val="0"/>
        </w:numPr>
        <w:spacing w:line="360" w:lineRule="auto"/>
      </w:pPr>
      <w:r w:rsidRPr="00CE71A5">
        <w:t xml:space="preserve">Nel conto del patrimonio sono rilevati gli elementi dell’attivo e del passivo, nonché le variazioni che gli elementi patrimoniali hanno subito per effetto della gestione. </w:t>
      </w:r>
    </w:p>
    <w:p w:rsidR="006D5FA4" w:rsidRDefault="006D5FA4" w:rsidP="006D5FA4">
      <w:pPr>
        <w:keepNext/>
        <w:jc w:val="both"/>
        <w:rPr>
          <w:b/>
          <w:i/>
          <w:u w:val="single"/>
        </w:rPr>
      </w:pPr>
      <w:r>
        <w:rPr>
          <w:b/>
          <w:bCs/>
          <w:sz w:val="24"/>
          <w:szCs w:val="24"/>
        </w:rPr>
        <w:t xml:space="preserve">Che  </w:t>
      </w:r>
      <w:r>
        <w:rPr>
          <w:sz w:val="24"/>
          <w:szCs w:val="24"/>
        </w:rPr>
        <w:t>il conto economico</w:t>
      </w:r>
      <w:r>
        <w:rPr>
          <w:b/>
          <w:bCs/>
          <w:sz w:val="24"/>
          <w:szCs w:val="24"/>
        </w:rPr>
        <w:t xml:space="preserve"> </w:t>
      </w:r>
      <w:r>
        <w:rPr>
          <w:sz w:val="24"/>
          <w:szCs w:val="24"/>
        </w:rPr>
        <w:t xml:space="preserve">si chiude con un risultato d'esercizio di € </w:t>
      </w:r>
      <w:r>
        <w:rPr>
          <w:b/>
          <w:sz w:val="24"/>
          <w:szCs w:val="24"/>
        </w:rPr>
        <w:t>763.456,68</w:t>
      </w:r>
      <w:r>
        <w:rPr>
          <w:sz w:val="24"/>
          <w:szCs w:val="24"/>
        </w:rPr>
        <w:t xml:space="preserve">  mentre i valori patrimoniali al 31/12/2011 e le variazioni rispetto all’ anno precedente sono così riassunti:</w:t>
      </w:r>
    </w:p>
    <w:p w:rsidR="006D5FA4" w:rsidRDefault="006D5FA4" w:rsidP="006D5FA4">
      <w:pPr>
        <w:rPr>
          <w:b/>
          <w:i/>
          <w:u w:val="single"/>
        </w:rPr>
      </w:pPr>
    </w:p>
    <w:p w:rsidR="006D5FA4" w:rsidRDefault="006D5FA4" w:rsidP="006D5FA4">
      <w:pPr>
        <w:spacing w:after="240"/>
        <w:ind w:left="180" w:right="150" w:hanging="180"/>
        <w:jc w:val="both"/>
        <w:rPr>
          <w:color w:val="FF0000"/>
        </w:rPr>
      </w:pPr>
      <w:r w:rsidRPr="00D66E13">
        <w:rPr>
          <w:b/>
          <w:sz w:val="24"/>
          <w:szCs w:val="24"/>
        </w:rPr>
        <w:t xml:space="preserve">CONTO </w:t>
      </w:r>
      <w:r>
        <w:rPr>
          <w:b/>
          <w:sz w:val="24"/>
          <w:szCs w:val="24"/>
        </w:rPr>
        <w:t>DEL PATRIMONIO</w:t>
      </w:r>
    </w:p>
    <w:p w:rsidR="006D5FA4" w:rsidRDefault="006D5FA4" w:rsidP="006D5FA4">
      <w:pPr>
        <w:rPr>
          <w:color w:val="FF0000"/>
        </w:rPr>
      </w:pPr>
    </w:p>
    <w:bookmarkStart w:id="40" w:name="_MON_1370255314"/>
    <w:bookmarkStart w:id="41" w:name="_MON_1370255893"/>
    <w:bookmarkStart w:id="42" w:name="_MON_1370256187"/>
    <w:bookmarkStart w:id="43" w:name="_MON_1370257295"/>
    <w:bookmarkStart w:id="44" w:name="_MON_1400930595"/>
    <w:bookmarkStart w:id="45" w:name="_MON_1400932262"/>
    <w:bookmarkStart w:id="46" w:name="_MON_1400933127"/>
    <w:bookmarkEnd w:id="40"/>
    <w:bookmarkEnd w:id="41"/>
    <w:bookmarkEnd w:id="42"/>
    <w:bookmarkEnd w:id="43"/>
    <w:bookmarkEnd w:id="44"/>
    <w:bookmarkEnd w:id="45"/>
    <w:bookmarkEnd w:id="46"/>
    <w:bookmarkStart w:id="47" w:name="_MON_1370254198"/>
    <w:bookmarkEnd w:id="47"/>
    <w:p w:rsidR="006D5FA4" w:rsidRDefault="006D5FA4" w:rsidP="006D5FA4">
      <w:pPr>
        <w:spacing w:after="150"/>
        <w:ind w:right="150"/>
        <w:jc w:val="both"/>
      </w:pPr>
      <w:r>
        <w:object w:dxaOrig="9609" w:dyaOrig="8893">
          <v:shape id="_x0000_i1070" type="#_x0000_t75" style="width:505.8pt;height:6in" o:ole="">
            <v:imagedata r:id="rId76" o:title=""/>
          </v:shape>
          <o:OLEObject Type="Embed" ProgID="Excel.Sheet.8" ShapeID="_x0000_i1070" DrawAspect="Content" ObjectID="_1404295189" r:id="rId77"/>
        </w:object>
      </w:r>
    </w:p>
    <w:p w:rsidR="004E062F" w:rsidRPr="0014221A" w:rsidRDefault="004E062F" w:rsidP="004E062F">
      <w:pPr>
        <w:spacing w:line="360" w:lineRule="auto"/>
        <w:ind w:right="567"/>
        <w:rPr>
          <w:color w:val="FF0000"/>
        </w:rPr>
      </w:pPr>
    </w:p>
    <w:p w:rsidR="004E062F" w:rsidRDefault="004E062F" w:rsidP="004E062F">
      <w:pPr>
        <w:rPr>
          <w:rFonts w:cs="Arial"/>
          <w:b/>
          <w:bCs/>
        </w:rPr>
      </w:pPr>
    </w:p>
    <w:p w:rsidR="004E062F" w:rsidRDefault="004E062F" w:rsidP="004E062F">
      <w:pPr>
        <w:rPr>
          <w:rFonts w:cs="Arial"/>
          <w:b/>
          <w:bCs/>
        </w:rPr>
      </w:pPr>
    </w:p>
    <w:p w:rsidR="004E062F" w:rsidRPr="00745330" w:rsidRDefault="004E062F" w:rsidP="004E062F">
      <w:pPr>
        <w:rPr>
          <w:rFonts w:cs="Arial"/>
          <w:b/>
          <w:bCs/>
        </w:rPr>
      </w:pPr>
      <w:r w:rsidRPr="00745330">
        <w:rPr>
          <w:rFonts w:cs="Arial"/>
          <w:b/>
          <w:bCs/>
        </w:rPr>
        <w:lastRenderedPageBreak/>
        <w:t>Verifica del patto di stabilità interno</w:t>
      </w:r>
    </w:p>
    <w:p w:rsidR="004E062F" w:rsidRDefault="004E062F" w:rsidP="004E062F">
      <w:pPr>
        <w:spacing w:line="360" w:lineRule="auto"/>
        <w:ind w:left="567" w:right="567"/>
      </w:pPr>
      <w:r w:rsidRPr="00745330">
        <w:t>L’ Ente   ha  rispettato gli obiettivi del patto di stabilità per l’anno 2011 stabiliti dalla normativa vigente, avendo registrato i seguenti risultati rispetto agli obiettivi programmatici di competenza mista</w:t>
      </w:r>
      <w:r>
        <w:t>, come si rileva dal prospetto che segue:</w:t>
      </w:r>
    </w:p>
    <w:p w:rsidR="004E062F" w:rsidRPr="00745330" w:rsidRDefault="004E062F" w:rsidP="004E062F">
      <w:pPr>
        <w:spacing w:line="360" w:lineRule="auto"/>
        <w:ind w:left="567" w:right="567"/>
        <w:rPr>
          <w:rFonts w:ascii="Arial Narrow" w:hAnsi="Arial Narrow"/>
          <w:sz w:val="20"/>
          <w:szCs w:val="20"/>
        </w:rPr>
      </w:pPr>
    </w:p>
    <w:p w:rsidR="004E062F" w:rsidRPr="00745330" w:rsidRDefault="004E062F" w:rsidP="004E062F">
      <w:pPr>
        <w:spacing w:line="360" w:lineRule="auto"/>
        <w:ind w:left="567" w:right="567"/>
        <w:rPr>
          <w:rFonts w:ascii="Arial Narrow" w:hAnsi="Arial Narrow"/>
          <w:sz w:val="20"/>
          <w:szCs w:val="20"/>
        </w:rPr>
      </w:pPr>
      <w:r w:rsidRPr="007633A0">
        <w:rPr>
          <w:rFonts w:ascii="Arial Narrow" w:hAnsi="Arial Narrow"/>
          <w:sz w:val="20"/>
          <w:szCs w:val="20"/>
        </w:rPr>
        <w:object w:dxaOrig="16508" w:dyaOrig="25167">
          <v:shape id="_x0000_i1067" type="#_x0000_t75" style="width:404.4pt;height:553.8pt" o:ole="">
            <v:imagedata r:id="rId78" o:title=""/>
          </v:shape>
          <o:OLEObject Type="Embed" ProgID="Excel.Sheet.12" ShapeID="_x0000_i1067" DrawAspect="Content" ObjectID="_1404295190" r:id="rId79"/>
        </w:object>
      </w:r>
    </w:p>
    <w:p w:rsidR="00D9795C" w:rsidRDefault="00D9795C" w:rsidP="00D9795C">
      <w:pPr>
        <w:rPr>
          <w:color w:val="FF0000"/>
        </w:rPr>
      </w:pPr>
    </w:p>
    <w:p w:rsidR="004E062F" w:rsidRDefault="004E062F" w:rsidP="004E062F">
      <w:pPr>
        <w:spacing w:line="360" w:lineRule="auto"/>
        <w:ind w:left="567" w:right="567"/>
        <w:rPr>
          <w:rFonts w:ascii="Arial Narrow" w:hAnsi="Arial Narrow"/>
          <w:sz w:val="20"/>
          <w:szCs w:val="20"/>
        </w:rPr>
      </w:pPr>
      <w:r w:rsidRPr="007633A0">
        <w:rPr>
          <w:rFonts w:ascii="Arial Narrow" w:hAnsi="Arial Narrow"/>
          <w:sz w:val="20"/>
          <w:szCs w:val="20"/>
        </w:rPr>
        <w:object w:dxaOrig="16508" w:dyaOrig="26778">
          <v:shape id="_x0000_i1068" type="#_x0000_t75" style="width:412.8pt;height:629.4pt" o:ole="">
            <v:imagedata r:id="rId80" o:title=""/>
          </v:shape>
          <o:OLEObject Type="Embed" ProgID="Excel.Sheet.12" ShapeID="_x0000_i1068" DrawAspect="Content" ObjectID="_1404295191" r:id="rId81"/>
        </w:object>
      </w:r>
    </w:p>
    <w:p w:rsidR="00D9795C" w:rsidRDefault="00D9795C" w:rsidP="00D9795C">
      <w:pPr>
        <w:rPr>
          <w:color w:val="FF0000"/>
        </w:rPr>
      </w:pPr>
    </w:p>
    <w:p w:rsidR="004E5F2D" w:rsidRPr="008F6D4A" w:rsidRDefault="004E5F2D" w:rsidP="008F6D4A">
      <w:pPr>
        <w:spacing w:line="360" w:lineRule="auto"/>
        <w:jc w:val="both"/>
        <w:rPr>
          <w:rFonts w:ascii="Andalus" w:hAnsi="Andalus" w:cs="Andalus"/>
          <w:sz w:val="20"/>
          <w:szCs w:val="20"/>
          <w:lang w:eastAsia="it-IT"/>
        </w:rPr>
      </w:pPr>
    </w:p>
    <w:sectPr w:rsidR="004E5F2D" w:rsidRPr="008F6D4A" w:rsidSect="0092444A">
      <w:footerReference w:type="even" r:id="rId82"/>
      <w:footerReference w:type="default" r:id="rId83"/>
      <w:type w:val="continuous"/>
      <w:pgSz w:w="11906" w:h="16838"/>
      <w:pgMar w:top="425" w:right="851" w:bottom="992" w:left="992" w:header="720" w:footer="720" w:gutter="0"/>
      <w:pgNumType w:fmt="numberInDash" w:start="1"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176" w:rsidRDefault="00DC1176">
      <w:r>
        <w:separator/>
      </w:r>
    </w:p>
  </w:endnote>
  <w:endnote w:type="continuationSeparator" w:id="0">
    <w:p w:rsidR="00DC1176" w:rsidRDefault="00DC117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ArialMT">
    <w:altName w:val="Arial Unicode MS"/>
    <w:panose1 w:val="00000000000000000000"/>
    <w:charset w:val="80"/>
    <w:family w:val="swiss"/>
    <w:notTrueType/>
    <w:pitch w:val="default"/>
    <w:sig w:usb0="00000001" w:usb1="08070000" w:usb2="00000010" w:usb3="00000000" w:csb0="00020000" w:csb1="00000000"/>
  </w:font>
  <w:font w:name="Arial-ItalicMT">
    <w:altName w:val="MS Mincho"/>
    <w:panose1 w:val="00000000000000000000"/>
    <w:charset w:val="80"/>
    <w:family w:val="swiss"/>
    <w:notTrueType/>
    <w:pitch w:val="default"/>
    <w:sig w:usb0="00000001" w:usb1="08070000" w:usb2="00000010" w:usb3="00000000" w:csb0="00020000" w:csb1="00000000"/>
  </w:font>
  <w:font w:name="Andalus">
    <w:panose1 w:val="02020603050405020304"/>
    <w:charset w:val="00"/>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32A" w:rsidRDefault="00A50F2E" w:rsidP="00823379">
    <w:pPr>
      <w:pStyle w:val="Pidipagina"/>
      <w:framePr w:wrap="around" w:vAnchor="text" w:hAnchor="margin" w:xAlign="center" w:y="1"/>
      <w:rPr>
        <w:rStyle w:val="Numeropagina"/>
      </w:rPr>
    </w:pPr>
    <w:r>
      <w:rPr>
        <w:rStyle w:val="Numeropagina"/>
      </w:rPr>
      <w:fldChar w:fldCharType="begin"/>
    </w:r>
    <w:r w:rsidR="002F032A">
      <w:rPr>
        <w:rStyle w:val="Numeropagina"/>
      </w:rPr>
      <w:instrText xml:space="preserve">PAGE  </w:instrText>
    </w:r>
    <w:r>
      <w:rPr>
        <w:rStyle w:val="Numeropagina"/>
      </w:rPr>
      <w:fldChar w:fldCharType="end"/>
    </w:r>
  </w:p>
  <w:p w:rsidR="002F032A" w:rsidRDefault="002F032A">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32A" w:rsidRDefault="00A50F2E" w:rsidP="00823379">
    <w:pPr>
      <w:pStyle w:val="Pidipagina"/>
      <w:framePr w:wrap="around" w:vAnchor="text" w:hAnchor="margin" w:xAlign="center" w:y="1"/>
      <w:rPr>
        <w:rStyle w:val="Numeropagina"/>
      </w:rPr>
    </w:pPr>
    <w:r>
      <w:rPr>
        <w:rStyle w:val="Numeropagina"/>
      </w:rPr>
      <w:fldChar w:fldCharType="begin"/>
    </w:r>
    <w:r w:rsidR="002F032A">
      <w:rPr>
        <w:rStyle w:val="Numeropagina"/>
      </w:rPr>
      <w:instrText xml:space="preserve">PAGE  </w:instrText>
    </w:r>
    <w:r>
      <w:rPr>
        <w:rStyle w:val="Numeropagina"/>
      </w:rPr>
      <w:fldChar w:fldCharType="separate"/>
    </w:r>
    <w:r w:rsidR="006D5FA4">
      <w:rPr>
        <w:rStyle w:val="Numeropagina"/>
        <w:noProof/>
      </w:rPr>
      <w:t>- 63 -</w:t>
    </w:r>
    <w:r>
      <w:rPr>
        <w:rStyle w:val="Numeropagina"/>
      </w:rPr>
      <w:fldChar w:fldCharType="end"/>
    </w:r>
  </w:p>
  <w:p w:rsidR="002F032A" w:rsidRDefault="002F032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176" w:rsidRDefault="00DC1176">
      <w:r>
        <w:separator/>
      </w:r>
    </w:p>
  </w:footnote>
  <w:footnote w:type="continuationSeparator" w:id="0">
    <w:p w:rsidR="00DC1176" w:rsidRDefault="00DC117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lvl w:ilvl="0">
      <w:start w:val="1"/>
      <w:numFmt w:val="bullet"/>
      <w:lvlText w:val=""/>
      <w:lvlJc w:val="left"/>
      <w:pPr>
        <w:tabs>
          <w:tab w:val="num" w:pos="1072"/>
        </w:tabs>
        <w:ind w:left="1072" w:hanging="360"/>
      </w:pPr>
      <w:rPr>
        <w:rFonts w:ascii="Wingdings" w:hAnsi="Wingdings"/>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lvl>
  </w:abstractNum>
  <w:abstractNum w:abstractNumId="4">
    <w:nsid w:val="25A60B1E"/>
    <w:multiLevelType w:val="hybridMultilevel"/>
    <w:tmpl w:val="6BF64FF2"/>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656A6581"/>
    <w:multiLevelType w:val="hybridMultilevel"/>
    <w:tmpl w:val="9FFC1E0C"/>
    <w:lvl w:ilvl="0" w:tplc="0410000B">
      <w:start w:val="1"/>
      <w:numFmt w:val="bullet"/>
      <w:lvlText w:val=""/>
      <w:lvlJc w:val="left"/>
      <w:pPr>
        <w:tabs>
          <w:tab w:val="num" w:pos="870"/>
        </w:tabs>
        <w:ind w:left="870" w:hanging="360"/>
      </w:pPr>
      <w:rPr>
        <w:rFonts w:ascii="Wingdings" w:hAnsi="Wingdings" w:hint="default"/>
      </w:rPr>
    </w:lvl>
    <w:lvl w:ilvl="1" w:tplc="04100003" w:tentative="1">
      <w:start w:val="1"/>
      <w:numFmt w:val="bullet"/>
      <w:lvlText w:val="o"/>
      <w:lvlJc w:val="left"/>
      <w:pPr>
        <w:tabs>
          <w:tab w:val="num" w:pos="1590"/>
        </w:tabs>
        <w:ind w:left="1590" w:hanging="360"/>
      </w:pPr>
      <w:rPr>
        <w:rFonts w:ascii="Courier New" w:hAnsi="Courier New" w:hint="default"/>
      </w:rPr>
    </w:lvl>
    <w:lvl w:ilvl="2" w:tplc="04100005" w:tentative="1">
      <w:start w:val="1"/>
      <w:numFmt w:val="bullet"/>
      <w:lvlText w:val=""/>
      <w:lvlJc w:val="left"/>
      <w:pPr>
        <w:tabs>
          <w:tab w:val="num" w:pos="2310"/>
        </w:tabs>
        <w:ind w:left="2310" w:hanging="360"/>
      </w:pPr>
      <w:rPr>
        <w:rFonts w:ascii="Wingdings" w:hAnsi="Wingdings" w:hint="default"/>
      </w:rPr>
    </w:lvl>
    <w:lvl w:ilvl="3" w:tplc="04100001" w:tentative="1">
      <w:start w:val="1"/>
      <w:numFmt w:val="bullet"/>
      <w:lvlText w:val=""/>
      <w:lvlJc w:val="left"/>
      <w:pPr>
        <w:tabs>
          <w:tab w:val="num" w:pos="3030"/>
        </w:tabs>
        <w:ind w:left="3030" w:hanging="360"/>
      </w:pPr>
      <w:rPr>
        <w:rFonts w:ascii="Symbol" w:hAnsi="Symbol" w:hint="default"/>
      </w:rPr>
    </w:lvl>
    <w:lvl w:ilvl="4" w:tplc="04100003" w:tentative="1">
      <w:start w:val="1"/>
      <w:numFmt w:val="bullet"/>
      <w:lvlText w:val="o"/>
      <w:lvlJc w:val="left"/>
      <w:pPr>
        <w:tabs>
          <w:tab w:val="num" w:pos="3750"/>
        </w:tabs>
        <w:ind w:left="3750" w:hanging="360"/>
      </w:pPr>
      <w:rPr>
        <w:rFonts w:ascii="Courier New" w:hAnsi="Courier New" w:hint="default"/>
      </w:rPr>
    </w:lvl>
    <w:lvl w:ilvl="5" w:tplc="04100005" w:tentative="1">
      <w:start w:val="1"/>
      <w:numFmt w:val="bullet"/>
      <w:lvlText w:val=""/>
      <w:lvlJc w:val="left"/>
      <w:pPr>
        <w:tabs>
          <w:tab w:val="num" w:pos="4470"/>
        </w:tabs>
        <w:ind w:left="4470" w:hanging="360"/>
      </w:pPr>
      <w:rPr>
        <w:rFonts w:ascii="Wingdings" w:hAnsi="Wingdings" w:hint="default"/>
      </w:rPr>
    </w:lvl>
    <w:lvl w:ilvl="6" w:tplc="04100001" w:tentative="1">
      <w:start w:val="1"/>
      <w:numFmt w:val="bullet"/>
      <w:lvlText w:val=""/>
      <w:lvlJc w:val="left"/>
      <w:pPr>
        <w:tabs>
          <w:tab w:val="num" w:pos="5190"/>
        </w:tabs>
        <w:ind w:left="5190" w:hanging="360"/>
      </w:pPr>
      <w:rPr>
        <w:rFonts w:ascii="Symbol" w:hAnsi="Symbol" w:hint="default"/>
      </w:rPr>
    </w:lvl>
    <w:lvl w:ilvl="7" w:tplc="04100003" w:tentative="1">
      <w:start w:val="1"/>
      <w:numFmt w:val="bullet"/>
      <w:lvlText w:val="o"/>
      <w:lvlJc w:val="left"/>
      <w:pPr>
        <w:tabs>
          <w:tab w:val="num" w:pos="5910"/>
        </w:tabs>
        <w:ind w:left="5910" w:hanging="360"/>
      </w:pPr>
      <w:rPr>
        <w:rFonts w:ascii="Courier New" w:hAnsi="Courier New" w:hint="default"/>
      </w:rPr>
    </w:lvl>
    <w:lvl w:ilvl="8" w:tplc="04100005" w:tentative="1">
      <w:start w:val="1"/>
      <w:numFmt w:val="bullet"/>
      <w:lvlText w:val=""/>
      <w:lvlJc w:val="left"/>
      <w:pPr>
        <w:tabs>
          <w:tab w:val="num" w:pos="6630"/>
        </w:tabs>
        <w:ind w:left="6630" w:hanging="360"/>
      </w:pPr>
      <w:rPr>
        <w:rFonts w:ascii="Wingdings" w:hAnsi="Wingdings" w:hint="default"/>
      </w:rPr>
    </w:lvl>
  </w:abstractNum>
  <w:abstractNum w:abstractNumId="6">
    <w:nsid w:val="6FD51B59"/>
    <w:multiLevelType w:val="hybridMultilevel"/>
    <w:tmpl w:val="C69264C4"/>
    <w:lvl w:ilvl="0" w:tplc="02CA4BCA">
      <w:start w:val="1"/>
      <w:numFmt w:val="bullet"/>
      <w:pStyle w:val="Narrativa"/>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D303FD"/>
    <w:rsid w:val="00000036"/>
    <w:rsid w:val="0000780F"/>
    <w:rsid w:val="000148B1"/>
    <w:rsid w:val="0002191D"/>
    <w:rsid w:val="00025BB3"/>
    <w:rsid w:val="00030CEB"/>
    <w:rsid w:val="00037624"/>
    <w:rsid w:val="000905A4"/>
    <w:rsid w:val="000B1289"/>
    <w:rsid w:val="000B2AC2"/>
    <w:rsid w:val="000B7E7D"/>
    <w:rsid w:val="001177FD"/>
    <w:rsid w:val="00117C53"/>
    <w:rsid w:val="00132B3E"/>
    <w:rsid w:val="0014082B"/>
    <w:rsid w:val="001456A2"/>
    <w:rsid w:val="001624DB"/>
    <w:rsid w:val="001626DB"/>
    <w:rsid w:val="00165005"/>
    <w:rsid w:val="0017746A"/>
    <w:rsid w:val="00177541"/>
    <w:rsid w:val="0019612B"/>
    <w:rsid w:val="001A176D"/>
    <w:rsid w:val="001A493B"/>
    <w:rsid w:val="001B769A"/>
    <w:rsid w:val="001C3C58"/>
    <w:rsid w:val="001F1BBC"/>
    <w:rsid w:val="00203F94"/>
    <w:rsid w:val="00205500"/>
    <w:rsid w:val="00211828"/>
    <w:rsid w:val="00221FF3"/>
    <w:rsid w:val="0022304A"/>
    <w:rsid w:val="00224525"/>
    <w:rsid w:val="0023192C"/>
    <w:rsid w:val="00242988"/>
    <w:rsid w:val="002435FB"/>
    <w:rsid w:val="00257E01"/>
    <w:rsid w:val="00264123"/>
    <w:rsid w:val="002654F0"/>
    <w:rsid w:val="00275CA0"/>
    <w:rsid w:val="00293CC5"/>
    <w:rsid w:val="002A11FD"/>
    <w:rsid w:val="002A31F9"/>
    <w:rsid w:val="002B707A"/>
    <w:rsid w:val="002C180E"/>
    <w:rsid w:val="002D0494"/>
    <w:rsid w:val="002D0E49"/>
    <w:rsid w:val="002D4CB5"/>
    <w:rsid w:val="002D52CB"/>
    <w:rsid w:val="002D5E80"/>
    <w:rsid w:val="002D6BF2"/>
    <w:rsid w:val="002F032A"/>
    <w:rsid w:val="003074E5"/>
    <w:rsid w:val="00314049"/>
    <w:rsid w:val="00314129"/>
    <w:rsid w:val="00326852"/>
    <w:rsid w:val="003653BB"/>
    <w:rsid w:val="0038429A"/>
    <w:rsid w:val="00391ED3"/>
    <w:rsid w:val="003D721F"/>
    <w:rsid w:val="003E7A01"/>
    <w:rsid w:val="003F421E"/>
    <w:rsid w:val="00406D7D"/>
    <w:rsid w:val="00413316"/>
    <w:rsid w:val="00417F58"/>
    <w:rsid w:val="00452531"/>
    <w:rsid w:val="0046186D"/>
    <w:rsid w:val="0046498D"/>
    <w:rsid w:val="00470C75"/>
    <w:rsid w:val="004854F7"/>
    <w:rsid w:val="00485C0E"/>
    <w:rsid w:val="004952E9"/>
    <w:rsid w:val="004A3124"/>
    <w:rsid w:val="004A41BF"/>
    <w:rsid w:val="004B5492"/>
    <w:rsid w:val="004B5703"/>
    <w:rsid w:val="004B6F1C"/>
    <w:rsid w:val="004E062F"/>
    <w:rsid w:val="004E5F2D"/>
    <w:rsid w:val="004F04EC"/>
    <w:rsid w:val="004F06A4"/>
    <w:rsid w:val="004F0ABC"/>
    <w:rsid w:val="005006AA"/>
    <w:rsid w:val="00504C44"/>
    <w:rsid w:val="00514EC8"/>
    <w:rsid w:val="005228ED"/>
    <w:rsid w:val="00523642"/>
    <w:rsid w:val="00523B0C"/>
    <w:rsid w:val="005502D8"/>
    <w:rsid w:val="0057394A"/>
    <w:rsid w:val="00593495"/>
    <w:rsid w:val="00594C22"/>
    <w:rsid w:val="005A1552"/>
    <w:rsid w:val="005A2598"/>
    <w:rsid w:val="005A2AB5"/>
    <w:rsid w:val="005A4A91"/>
    <w:rsid w:val="005C5389"/>
    <w:rsid w:val="005E55F0"/>
    <w:rsid w:val="005E5EE2"/>
    <w:rsid w:val="005E6879"/>
    <w:rsid w:val="005F68DB"/>
    <w:rsid w:val="00601110"/>
    <w:rsid w:val="0060263C"/>
    <w:rsid w:val="0061301C"/>
    <w:rsid w:val="00623C8D"/>
    <w:rsid w:val="00630826"/>
    <w:rsid w:val="00635644"/>
    <w:rsid w:val="00640648"/>
    <w:rsid w:val="0064171E"/>
    <w:rsid w:val="006445D6"/>
    <w:rsid w:val="00651BFC"/>
    <w:rsid w:val="006646D9"/>
    <w:rsid w:val="006654C7"/>
    <w:rsid w:val="00667E48"/>
    <w:rsid w:val="00670E38"/>
    <w:rsid w:val="0068618F"/>
    <w:rsid w:val="00690059"/>
    <w:rsid w:val="00695A27"/>
    <w:rsid w:val="006A0C36"/>
    <w:rsid w:val="006A30A1"/>
    <w:rsid w:val="006A6038"/>
    <w:rsid w:val="006C2C1C"/>
    <w:rsid w:val="006C5B5D"/>
    <w:rsid w:val="006D0610"/>
    <w:rsid w:val="006D3848"/>
    <w:rsid w:val="006D4674"/>
    <w:rsid w:val="006D5FA4"/>
    <w:rsid w:val="006D6F77"/>
    <w:rsid w:val="006F4DF2"/>
    <w:rsid w:val="00710E43"/>
    <w:rsid w:val="00720D41"/>
    <w:rsid w:val="00732B7A"/>
    <w:rsid w:val="00732F5D"/>
    <w:rsid w:val="00747A0F"/>
    <w:rsid w:val="00765C15"/>
    <w:rsid w:val="007741ED"/>
    <w:rsid w:val="00781FD2"/>
    <w:rsid w:val="00782224"/>
    <w:rsid w:val="00783DA3"/>
    <w:rsid w:val="00785068"/>
    <w:rsid w:val="007859D6"/>
    <w:rsid w:val="007939CA"/>
    <w:rsid w:val="007A5089"/>
    <w:rsid w:val="007B1786"/>
    <w:rsid w:val="007C608E"/>
    <w:rsid w:val="007C6E63"/>
    <w:rsid w:val="007F11DA"/>
    <w:rsid w:val="007F2C78"/>
    <w:rsid w:val="007F2F77"/>
    <w:rsid w:val="00803EA5"/>
    <w:rsid w:val="00817519"/>
    <w:rsid w:val="00823379"/>
    <w:rsid w:val="00823753"/>
    <w:rsid w:val="00852C07"/>
    <w:rsid w:val="00865C99"/>
    <w:rsid w:val="008878D2"/>
    <w:rsid w:val="008922D7"/>
    <w:rsid w:val="00894034"/>
    <w:rsid w:val="008A6535"/>
    <w:rsid w:val="008A66E5"/>
    <w:rsid w:val="008B5A08"/>
    <w:rsid w:val="008C56B0"/>
    <w:rsid w:val="008C6360"/>
    <w:rsid w:val="008E47DE"/>
    <w:rsid w:val="008E7142"/>
    <w:rsid w:val="008F02F8"/>
    <w:rsid w:val="008F6D4A"/>
    <w:rsid w:val="00920638"/>
    <w:rsid w:val="0092444A"/>
    <w:rsid w:val="009378F3"/>
    <w:rsid w:val="00940069"/>
    <w:rsid w:val="009514EE"/>
    <w:rsid w:val="00953F65"/>
    <w:rsid w:val="00961FFC"/>
    <w:rsid w:val="009646EB"/>
    <w:rsid w:val="0097393C"/>
    <w:rsid w:val="00976620"/>
    <w:rsid w:val="00984008"/>
    <w:rsid w:val="0098617E"/>
    <w:rsid w:val="00987945"/>
    <w:rsid w:val="0099594F"/>
    <w:rsid w:val="009B295C"/>
    <w:rsid w:val="009C2876"/>
    <w:rsid w:val="009C4269"/>
    <w:rsid w:val="009C6220"/>
    <w:rsid w:val="009E520F"/>
    <w:rsid w:val="00A02AC4"/>
    <w:rsid w:val="00A06D3C"/>
    <w:rsid w:val="00A171A0"/>
    <w:rsid w:val="00A2364B"/>
    <w:rsid w:val="00A23ECB"/>
    <w:rsid w:val="00A37C84"/>
    <w:rsid w:val="00A43110"/>
    <w:rsid w:val="00A50F2E"/>
    <w:rsid w:val="00A53B63"/>
    <w:rsid w:val="00A75FC5"/>
    <w:rsid w:val="00A81A9E"/>
    <w:rsid w:val="00A82A40"/>
    <w:rsid w:val="00A853B0"/>
    <w:rsid w:val="00A97E14"/>
    <w:rsid w:val="00AB3396"/>
    <w:rsid w:val="00AB6281"/>
    <w:rsid w:val="00AD2B7D"/>
    <w:rsid w:val="00AE7D09"/>
    <w:rsid w:val="00AF4C2C"/>
    <w:rsid w:val="00AF6850"/>
    <w:rsid w:val="00B00CCA"/>
    <w:rsid w:val="00B04982"/>
    <w:rsid w:val="00B273FF"/>
    <w:rsid w:val="00B3655C"/>
    <w:rsid w:val="00B3745A"/>
    <w:rsid w:val="00B45EFC"/>
    <w:rsid w:val="00B51AA2"/>
    <w:rsid w:val="00B54836"/>
    <w:rsid w:val="00B6042A"/>
    <w:rsid w:val="00B65DD3"/>
    <w:rsid w:val="00B724D0"/>
    <w:rsid w:val="00B8055A"/>
    <w:rsid w:val="00B84097"/>
    <w:rsid w:val="00B90EFC"/>
    <w:rsid w:val="00B91557"/>
    <w:rsid w:val="00BA03FE"/>
    <w:rsid w:val="00BA0CD3"/>
    <w:rsid w:val="00BA1FCC"/>
    <w:rsid w:val="00BA3DB4"/>
    <w:rsid w:val="00BB7324"/>
    <w:rsid w:val="00BC3456"/>
    <w:rsid w:val="00BC5A57"/>
    <w:rsid w:val="00BD22B6"/>
    <w:rsid w:val="00BE10B6"/>
    <w:rsid w:val="00BF335F"/>
    <w:rsid w:val="00C0742D"/>
    <w:rsid w:val="00C12458"/>
    <w:rsid w:val="00C30A30"/>
    <w:rsid w:val="00C31AC3"/>
    <w:rsid w:val="00C341B0"/>
    <w:rsid w:val="00C464DA"/>
    <w:rsid w:val="00C755CA"/>
    <w:rsid w:val="00C916D5"/>
    <w:rsid w:val="00C924B4"/>
    <w:rsid w:val="00C92E78"/>
    <w:rsid w:val="00C93F4F"/>
    <w:rsid w:val="00C94484"/>
    <w:rsid w:val="00C971B3"/>
    <w:rsid w:val="00CA2C5F"/>
    <w:rsid w:val="00CC39EA"/>
    <w:rsid w:val="00CD03F5"/>
    <w:rsid w:val="00CD3B21"/>
    <w:rsid w:val="00CE1F21"/>
    <w:rsid w:val="00CF6EC2"/>
    <w:rsid w:val="00D1009D"/>
    <w:rsid w:val="00D16F74"/>
    <w:rsid w:val="00D2005E"/>
    <w:rsid w:val="00D303FD"/>
    <w:rsid w:val="00D3319E"/>
    <w:rsid w:val="00D3485B"/>
    <w:rsid w:val="00D358F9"/>
    <w:rsid w:val="00D36544"/>
    <w:rsid w:val="00D61C39"/>
    <w:rsid w:val="00D62A4C"/>
    <w:rsid w:val="00D63EAB"/>
    <w:rsid w:val="00D7081A"/>
    <w:rsid w:val="00D949D5"/>
    <w:rsid w:val="00D95463"/>
    <w:rsid w:val="00D964F0"/>
    <w:rsid w:val="00D9795C"/>
    <w:rsid w:val="00DA23E9"/>
    <w:rsid w:val="00DA713D"/>
    <w:rsid w:val="00DB47AD"/>
    <w:rsid w:val="00DB57B1"/>
    <w:rsid w:val="00DC1176"/>
    <w:rsid w:val="00DC5990"/>
    <w:rsid w:val="00DD2B31"/>
    <w:rsid w:val="00DE570D"/>
    <w:rsid w:val="00DF5C5E"/>
    <w:rsid w:val="00E02B56"/>
    <w:rsid w:val="00E03860"/>
    <w:rsid w:val="00E208B0"/>
    <w:rsid w:val="00E742FE"/>
    <w:rsid w:val="00E908CE"/>
    <w:rsid w:val="00EB068B"/>
    <w:rsid w:val="00EB2505"/>
    <w:rsid w:val="00ED26AC"/>
    <w:rsid w:val="00EE2CA4"/>
    <w:rsid w:val="00EE77E1"/>
    <w:rsid w:val="00EF51EB"/>
    <w:rsid w:val="00EF53E3"/>
    <w:rsid w:val="00EF6860"/>
    <w:rsid w:val="00EF6F5C"/>
    <w:rsid w:val="00F17450"/>
    <w:rsid w:val="00F20792"/>
    <w:rsid w:val="00F21243"/>
    <w:rsid w:val="00F225CF"/>
    <w:rsid w:val="00F34F22"/>
    <w:rsid w:val="00F47F9B"/>
    <w:rsid w:val="00F53C94"/>
    <w:rsid w:val="00F66AFD"/>
    <w:rsid w:val="00F67F2F"/>
    <w:rsid w:val="00F84BB5"/>
    <w:rsid w:val="00F8761B"/>
    <w:rsid w:val="00F938BE"/>
    <w:rsid w:val="00FC3863"/>
    <w:rsid w:val="00FC5910"/>
    <w:rsid w:val="00FD46AE"/>
    <w:rsid w:val="00FD4F7F"/>
    <w:rsid w:val="00FE5267"/>
    <w:rsid w:val="00FE551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654F0"/>
    <w:pPr>
      <w:suppressAutoHyphens/>
      <w:spacing w:after="200" w:line="276" w:lineRule="auto"/>
    </w:pPr>
    <w:rPr>
      <w:rFonts w:ascii="Calibri" w:eastAsia="Calibri" w:hAnsi="Calibri" w:cs="Calibri"/>
      <w:sz w:val="22"/>
      <w:szCs w:val="22"/>
      <w:lang w:eastAsia="ar-SA"/>
    </w:rPr>
  </w:style>
  <w:style w:type="paragraph" w:styleId="Titolo1">
    <w:name w:val="heading 1"/>
    <w:basedOn w:val="Normale"/>
    <w:next w:val="Normale"/>
    <w:link w:val="Titolo1Carattere"/>
    <w:qFormat/>
    <w:rsid w:val="002654F0"/>
    <w:pPr>
      <w:keepNext/>
      <w:numPr>
        <w:numId w:val="1"/>
      </w:numPr>
      <w:spacing w:before="240" w:after="60"/>
      <w:outlineLvl w:val="0"/>
    </w:pPr>
    <w:rPr>
      <w:rFonts w:ascii="Arial" w:hAnsi="Arial" w:cs="Arial"/>
      <w:b/>
      <w:bCs/>
      <w:kern w:val="1"/>
      <w:sz w:val="32"/>
      <w:szCs w:val="32"/>
    </w:rPr>
  </w:style>
  <w:style w:type="paragraph" w:styleId="Titolo2">
    <w:name w:val="heading 2"/>
    <w:basedOn w:val="Normale"/>
    <w:next w:val="Normale"/>
    <w:link w:val="Titolo2Carattere"/>
    <w:qFormat/>
    <w:rsid w:val="002654F0"/>
    <w:pPr>
      <w:keepNext/>
      <w:numPr>
        <w:ilvl w:val="1"/>
        <w:numId w:val="1"/>
      </w:numPr>
      <w:suppressAutoHyphens w:val="0"/>
      <w:spacing w:after="0" w:line="360" w:lineRule="auto"/>
      <w:jc w:val="both"/>
      <w:outlineLvl w:val="1"/>
    </w:pPr>
    <w:rPr>
      <w:rFonts w:ascii="Times New Roman" w:eastAsia="Times New Roman" w:hAnsi="Times New Roman" w:cs="Arial"/>
      <w:b/>
      <w:bCs/>
      <w:sz w:val="24"/>
      <w:szCs w:val="24"/>
    </w:rPr>
  </w:style>
  <w:style w:type="paragraph" w:styleId="Titolo3">
    <w:name w:val="heading 3"/>
    <w:basedOn w:val="Normale"/>
    <w:next w:val="Normale"/>
    <w:link w:val="Titolo3Carattere"/>
    <w:qFormat/>
    <w:rsid w:val="002654F0"/>
    <w:pPr>
      <w:keepNext/>
      <w:numPr>
        <w:ilvl w:val="2"/>
        <w:numId w:val="1"/>
      </w:numPr>
      <w:spacing w:before="240" w:after="60"/>
      <w:outlineLvl w:val="2"/>
    </w:pPr>
    <w:rPr>
      <w:rFonts w:ascii="Arial" w:hAnsi="Arial" w:cs="Arial"/>
      <w:b/>
      <w:bCs/>
      <w:sz w:val="26"/>
      <w:szCs w:val="26"/>
    </w:rPr>
  </w:style>
  <w:style w:type="paragraph" w:styleId="Titolo4">
    <w:name w:val="heading 4"/>
    <w:basedOn w:val="Normale"/>
    <w:next w:val="Normale"/>
    <w:link w:val="Titolo4Carattere"/>
    <w:qFormat/>
    <w:rsid w:val="002654F0"/>
    <w:pPr>
      <w:keepNext/>
      <w:numPr>
        <w:ilvl w:val="3"/>
        <w:numId w:val="1"/>
      </w:numPr>
      <w:spacing w:before="240" w:after="60"/>
      <w:outlineLvl w:val="3"/>
    </w:pPr>
    <w:rPr>
      <w:rFonts w:ascii="Times New Roman" w:hAnsi="Times New Roman" w:cs="Times New Roman"/>
      <w:b/>
      <w:bCs/>
      <w:sz w:val="28"/>
      <w:szCs w:val="28"/>
    </w:rPr>
  </w:style>
  <w:style w:type="paragraph" w:styleId="Titolo5">
    <w:name w:val="heading 5"/>
    <w:basedOn w:val="Normale"/>
    <w:next w:val="Normale"/>
    <w:link w:val="Titolo5Carattere"/>
    <w:qFormat/>
    <w:rsid w:val="002654F0"/>
    <w:pPr>
      <w:numPr>
        <w:ilvl w:val="4"/>
        <w:numId w:val="1"/>
      </w:numPr>
      <w:spacing w:before="240" w:after="60"/>
      <w:outlineLvl w:val="4"/>
    </w:pPr>
    <w:rPr>
      <w:b/>
      <w:bCs/>
      <w:i/>
      <w:iCs/>
      <w:sz w:val="26"/>
      <w:szCs w:val="26"/>
    </w:rPr>
  </w:style>
  <w:style w:type="paragraph" w:styleId="Titolo9">
    <w:name w:val="heading 9"/>
    <w:basedOn w:val="Normale"/>
    <w:next w:val="Normale"/>
    <w:link w:val="Titolo9Carattere"/>
    <w:qFormat/>
    <w:rsid w:val="00C94484"/>
    <w:pPr>
      <w:keepNext/>
      <w:numPr>
        <w:ilvl w:val="8"/>
        <w:numId w:val="1"/>
      </w:numPr>
      <w:spacing w:after="0" w:line="480" w:lineRule="auto"/>
      <w:jc w:val="center"/>
      <w:outlineLvl w:val="8"/>
    </w:pPr>
    <w:rPr>
      <w:rFonts w:ascii="Arial" w:eastAsia="Times New Roman" w:hAnsi="Arial" w:cs="Times New Roman"/>
      <w:b/>
      <w:sz w:val="36"/>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sid w:val="002654F0"/>
    <w:rPr>
      <w:rFonts w:ascii="Wingdings" w:hAnsi="Wingdings"/>
    </w:rPr>
  </w:style>
  <w:style w:type="character" w:customStyle="1" w:styleId="WW8Num3z0">
    <w:name w:val="WW8Num3z0"/>
    <w:rsid w:val="002654F0"/>
    <w:rPr>
      <w:rFonts w:ascii="Wingdings" w:hAnsi="Wingdings"/>
    </w:rPr>
  </w:style>
  <w:style w:type="character" w:customStyle="1" w:styleId="Absatz-Standardschriftart">
    <w:name w:val="Absatz-Standardschriftart"/>
    <w:rsid w:val="002654F0"/>
  </w:style>
  <w:style w:type="character" w:customStyle="1" w:styleId="WW8Num1z0">
    <w:name w:val="WW8Num1z0"/>
    <w:rsid w:val="002654F0"/>
    <w:rPr>
      <w:rFonts w:ascii="Wingdings" w:hAnsi="Wingdings"/>
    </w:rPr>
  </w:style>
  <w:style w:type="character" w:customStyle="1" w:styleId="WW8Num1z1">
    <w:name w:val="WW8Num1z1"/>
    <w:rsid w:val="002654F0"/>
    <w:rPr>
      <w:rFonts w:ascii="Courier New" w:hAnsi="Courier New"/>
    </w:rPr>
  </w:style>
  <w:style w:type="character" w:customStyle="1" w:styleId="WW8Num1z3">
    <w:name w:val="WW8Num1z3"/>
    <w:rsid w:val="002654F0"/>
    <w:rPr>
      <w:rFonts w:ascii="Symbol" w:hAnsi="Symbol"/>
    </w:rPr>
  </w:style>
  <w:style w:type="character" w:customStyle="1" w:styleId="WW8Num2z1">
    <w:name w:val="WW8Num2z1"/>
    <w:rsid w:val="002654F0"/>
    <w:rPr>
      <w:rFonts w:ascii="Courier New" w:hAnsi="Courier New"/>
    </w:rPr>
  </w:style>
  <w:style w:type="character" w:customStyle="1" w:styleId="WW8Num2z3">
    <w:name w:val="WW8Num2z3"/>
    <w:rsid w:val="002654F0"/>
    <w:rPr>
      <w:rFonts w:ascii="Symbol" w:hAnsi="Symbol"/>
    </w:rPr>
  </w:style>
  <w:style w:type="character" w:customStyle="1" w:styleId="Carpredefinitoparagrafo2">
    <w:name w:val="Car. predefinito paragrafo2"/>
    <w:rsid w:val="002654F0"/>
  </w:style>
  <w:style w:type="character" w:customStyle="1" w:styleId="Carpredefinitoparagrafo1">
    <w:name w:val="Car. predefinito paragrafo1"/>
    <w:rsid w:val="002654F0"/>
  </w:style>
  <w:style w:type="paragraph" w:customStyle="1" w:styleId="Intestazione2">
    <w:name w:val="Intestazione2"/>
    <w:basedOn w:val="Normale"/>
    <w:next w:val="Corpodeltesto"/>
    <w:rsid w:val="002654F0"/>
    <w:pPr>
      <w:keepNext/>
      <w:spacing w:before="240" w:after="120"/>
    </w:pPr>
    <w:rPr>
      <w:rFonts w:ascii="Arial" w:eastAsia="SimSun" w:hAnsi="Arial" w:cs="Tahoma"/>
      <w:sz w:val="28"/>
      <w:szCs w:val="28"/>
    </w:rPr>
  </w:style>
  <w:style w:type="paragraph" w:styleId="Corpodeltesto">
    <w:name w:val="Body Text"/>
    <w:basedOn w:val="Normale"/>
    <w:link w:val="CorpodeltestoCarattere"/>
    <w:rsid w:val="002654F0"/>
    <w:pPr>
      <w:spacing w:after="120"/>
    </w:pPr>
  </w:style>
  <w:style w:type="paragraph" w:styleId="Elenco">
    <w:name w:val="List"/>
    <w:basedOn w:val="Corpodeltesto"/>
    <w:rsid w:val="002654F0"/>
    <w:rPr>
      <w:rFonts w:cs="Tahoma"/>
    </w:rPr>
  </w:style>
  <w:style w:type="paragraph" w:customStyle="1" w:styleId="Didascalia2">
    <w:name w:val="Didascalia2"/>
    <w:basedOn w:val="Normale"/>
    <w:rsid w:val="002654F0"/>
    <w:pPr>
      <w:suppressLineNumbers/>
      <w:spacing w:before="120" w:after="120"/>
    </w:pPr>
    <w:rPr>
      <w:rFonts w:cs="Tahoma"/>
      <w:i/>
      <w:iCs/>
      <w:sz w:val="24"/>
      <w:szCs w:val="24"/>
    </w:rPr>
  </w:style>
  <w:style w:type="paragraph" w:customStyle="1" w:styleId="Indice">
    <w:name w:val="Indice"/>
    <w:basedOn w:val="Normale"/>
    <w:rsid w:val="002654F0"/>
    <w:pPr>
      <w:suppressLineNumbers/>
    </w:pPr>
    <w:rPr>
      <w:rFonts w:cs="Tahoma"/>
    </w:rPr>
  </w:style>
  <w:style w:type="paragraph" w:customStyle="1" w:styleId="Intestazione1">
    <w:name w:val="Intestazione1"/>
    <w:basedOn w:val="Normale"/>
    <w:next w:val="Corpodeltesto"/>
    <w:rsid w:val="002654F0"/>
    <w:pPr>
      <w:keepNext/>
      <w:spacing w:before="240" w:after="120"/>
    </w:pPr>
    <w:rPr>
      <w:rFonts w:ascii="Arial" w:eastAsia="SimSun" w:hAnsi="Arial" w:cs="Tahoma"/>
      <w:sz w:val="28"/>
      <w:szCs w:val="28"/>
    </w:rPr>
  </w:style>
  <w:style w:type="paragraph" w:customStyle="1" w:styleId="Didascalia1">
    <w:name w:val="Didascalia1"/>
    <w:basedOn w:val="Normale"/>
    <w:rsid w:val="002654F0"/>
    <w:pPr>
      <w:suppressLineNumbers/>
      <w:spacing w:before="120" w:after="120"/>
    </w:pPr>
    <w:rPr>
      <w:rFonts w:cs="Tahoma"/>
      <w:i/>
      <w:iCs/>
      <w:sz w:val="24"/>
      <w:szCs w:val="24"/>
    </w:rPr>
  </w:style>
  <w:style w:type="paragraph" w:customStyle="1" w:styleId="Contenutotabella">
    <w:name w:val="Contenuto tabella"/>
    <w:basedOn w:val="Normale"/>
    <w:rsid w:val="002654F0"/>
    <w:pPr>
      <w:suppressLineNumbers/>
    </w:pPr>
  </w:style>
  <w:style w:type="paragraph" w:customStyle="1" w:styleId="Intestazionetabella">
    <w:name w:val="Intestazione tabella"/>
    <w:basedOn w:val="Contenutotabella"/>
    <w:rsid w:val="002654F0"/>
    <w:pPr>
      <w:jc w:val="center"/>
    </w:pPr>
    <w:rPr>
      <w:b/>
      <w:bCs/>
    </w:rPr>
  </w:style>
  <w:style w:type="paragraph" w:customStyle="1" w:styleId="Corpodeltesto21">
    <w:name w:val="Corpo del testo 21"/>
    <w:basedOn w:val="Normale"/>
    <w:rsid w:val="002654F0"/>
    <w:pPr>
      <w:spacing w:after="120" w:line="480" w:lineRule="auto"/>
    </w:pPr>
  </w:style>
  <w:style w:type="paragraph" w:customStyle="1" w:styleId="Corpodeltesto31">
    <w:name w:val="Corpo del testo 31"/>
    <w:basedOn w:val="Normale"/>
    <w:rsid w:val="002654F0"/>
    <w:pPr>
      <w:spacing w:after="120"/>
    </w:pPr>
    <w:rPr>
      <w:sz w:val="16"/>
      <w:szCs w:val="16"/>
    </w:rPr>
  </w:style>
  <w:style w:type="paragraph" w:styleId="Intestazione">
    <w:name w:val="header"/>
    <w:basedOn w:val="Normale"/>
    <w:link w:val="IntestazioneCarattere"/>
    <w:rsid w:val="002654F0"/>
    <w:pPr>
      <w:tabs>
        <w:tab w:val="center" w:pos="4819"/>
        <w:tab w:val="right" w:pos="9638"/>
      </w:tabs>
      <w:suppressAutoHyphens w:val="0"/>
      <w:spacing w:after="0" w:line="240" w:lineRule="auto"/>
    </w:pPr>
    <w:rPr>
      <w:rFonts w:ascii="Times New Roman" w:eastAsia="Times New Roman" w:hAnsi="Times New Roman" w:cs="Times New Roman"/>
      <w:sz w:val="24"/>
      <w:szCs w:val="24"/>
    </w:rPr>
  </w:style>
  <w:style w:type="paragraph" w:styleId="Pidipagina">
    <w:name w:val="footer"/>
    <w:basedOn w:val="Normale"/>
    <w:link w:val="PidipaginaCarattere"/>
    <w:rsid w:val="0092444A"/>
    <w:pPr>
      <w:tabs>
        <w:tab w:val="center" w:pos="4819"/>
        <w:tab w:val="right" w:pos="9638"/>
      </w:tabs>
    </w:pPr>
  </w:style>
  <w:style w:type="character" w:styleId="Numeropagina">
    <w:name w:val="page number"/>
    <w:basedOn w:val="Carpredefinitoparagrafo"/>
    <w:rsid w:val="0092444A"/>
  </w:style>
  <w:style w:type="paragraph" w:styleId="Corpodeltesto2">
    <w:name w:val="Body Text 2"/>
    <w:basedOn w:val="Normale"/>
    <w:rsid w:val="00C916D5"/>
    <w:pPr>
      <w:spacing w:after="120" w:line="480" w:lineRule="auto"/>
    </w:pPr>
  </w:style>
  <w:style w:type="paragraph" w:styleId="Corpodeltesto3">
    <w:name w:val="Body Text 3"/>
    <w:basedOn w:val="Normale"/>
    <w:rsid w:val="00C916D5"/>
    <w:pPr>
      <w:spacing w:after="120"/>
    </w:pPr>
    <w:rPr>
      <w:sz w:val="16"/>
      <w:szCs w:val="16"/>
    </w:rPr>
  </w:style>
  <w:style w:type="character" w:customStyle="1" w:styleId="Titolo9Carattere">
    <w:name w:val="Titolo 9 Carattere"/>
    <w:basedOn w:val="Carpredefinitoparagrafo"/>
    <w:link w:val="Titolo9"/>
    <w:rsid w:val="00C94484"/>
    <w:rPr>
      <w:rFonts w:ascii="Arial" w:hAnsi="Arial"/>
      <w:b/>
      <w:sz w:val="36"/>
      <w:lang w:eastAsia="ar-SA"/>
    </w:rPr>
  </w:style>
  <w:style w:type="character" w:customStyle="1" w:styleId="Titolo1Carattere">
    <w:name w:val="Titolo 1 Carattere"/>
    <w:basedOn w:val="Carpredefinitoparagrafo"/>
    <w:link w:val="Titolo1"/>
    <w:rsid w:val="00C94484"/>
    <w:rPr>
      <w:rFonts w:ascii="Arial" w:eastAsia="Calibri" w:hAnsi="Arial" w:cs="Arial"/>
      <w:b/>
      <w:bCs/>
      <w:kern w:val="1"/>
      <w:sz w:val="32"/>
      <w:szCs w:val="32"/>
      <w:lang w:eastAsia="ar-SA"/>
    </w:rPr>
  </w:style>
  <w:style w:type="character" w:customStyle="1" w:styleId="Titolo2Carattere">
    <w:name w:val="Titolo 2 Carattere"/>
    <w:basedOn w:val="Carpredefinitoparagrafo"/>
    <w:link w:val="Titolo2"/>
    <w:rsid w:val="00C94484"/>
    <w:rPr>
      <w:rFonts w:cs="Arial"/>
      <w:b/>
      <w:bCs/>
      <w:sz w:val="24"/>
      <w:szCs w:val="24"/>
      <w:lang w:eastAsia="ar-SA"/>
    </w:rPr>
  </w:style>
  <w:style w:type="character" w:customStyle="1" w:styleId="Titolo3Carattere">
    <w:name w:val="Titolo 3 Carattere"/>
    <w:basedOn w:val="Carpredefinitoparagrafo"/>
    <w:link w:val="Titolo3"/>
    <w:rsid w:val="00C94484"/>
    <w:rPr>
      <w:rFonts w:ascii="Arial" w:eastAsia="Calibri" w:hAnsi="Arial" w:cs="Arial"/>
      <w:b/>
      <w:bCs/>
      <w:sz w:val="26"/>
      <w:szCs w:val="26"/>
      <w:lang w:eastAsia="ar-SA"/>
    </w:rPr>
  </w:style>
  <w:style w:type="character" w:customStyle="1" w:styleId="Titolo4Carattere">
    <w:name w:val="Titolo 4 Carattere"/>
    <w:basedOn w:val="Carpredefinitoparagrafo"/>
    <w:link w:val="Titolo4"/>
    <w:rsid w:val="00C94484"/>
    <w:rPr>
      <w:rFonts w:eastAsia="Calibri"/>
      <w:b/>
      <w:bCs/>
      <w:sz w:val="28"/>
      <w:szCs w:val="28"/>
      <w:lang w:eastAsia="ar-SA"/>
    </w:rPr>
  </w:style>
  <w:style w:type="character" w:customStyle="1" w:styleId="Titolo5Carattere">
    <w:name w:val="Titolo 5 Carattere"/>
    <w:basedOn w:val="Carpredefinitoparagrafo"/>
    <w:link w:val="Titolo5"/>
    <w:rsid w:val="00C94484"/>
    <w:rPr>
      <w:rFonts w:ascii="Calibri" w:eastAsia="Calibri" w:hAnsi="Calibri" w:cs="Calibri"/>
      <w:b/>
      <w:bCs/>
      <w:i/>
      <w:iCs/>
      <w:sz w:val="26"/>
      <w:szCs w:val="26"/>
      <w:lang w:eastAsia="ar-SA"/>
    </w:rPr>
  </w:style>
  <w:style w:type="character" w:customStyle="1" w:styleId="WW-Absatz-Standardschriftart">
    <w:name w:val="WW-Absatz-Standardschriftart"/>
    <w:rsid w:val="00C94484"/>
  </w:style>
  <w:style w:type="character" w:customStyle="1" w:styleId="WW-Absatz-Standardschriftart1">
    <w:name w:val="WW-Absatz-Standardschriftart1"/>
    <w:rsid w:val="00C94484"/>
  </w:style>
  <w:style w:type="character" w:customStyle="1" w:styleId="WW-Absatz-Standardschriftart11">
    <w:name w:val="WW-Absatz-Standardschriftart11"/>
    <w:rsid w:val="00C94484"/>
  </w:style>
  <w:style w:type="character" w:customStyle="1" w:styleId="WW-Absatz-Standardschriftart111">
    <w:name w:val="WW-Absatz-Standardschriftart111"/>
    <w:rsid w:val="00C94484"/>
  </w:style>
  <w:style w:type="character" w:customStyle="1" w:styleId="WW-Absatz-Standardschriftart1111">
    <w:name w:val="WW-Absatz-Standardschriftart1111"/>
    <w:rsid w:val="00C94484"/>
  </w:style>
  <w:style w:type="character" w:customStyle="1" w:styleId="WW-Absatz-Standardschriftart11111">
    <w:name w:val="WW-Absatz-Standardschriftart11111"/>
    <w:rsid w:val="00C94484"/>
  </w:style>
  <w:style w:type="character" w:customStyle="1" w:styleId="WW-Absatz-Standardschriftart111111">
    <w:name w:val="WW-Absatz-Standardschriftart111111"/>
    <w:rsid w:val="00C94484"/>
  </w:style>
  <w:style w:type="character" w:customStyle="1" w:styleId="WW-Absatz-Standardschriftart1111111">
    <w:name w:val="WW-Absatz-Standardschriftart1111111"/>
    <w:rsid w:val="00C94484"/>
  </w:style>
  <w:style w:type="character" w:customStyle="1" w:styleId="WW-Absatz-Standardschriftart11111111">
    <w:name w:val="WW-Absatz-Standardschriftart11111111"/>
    <w:rsid w:val="00C94484"/>
  </w:style>
  <w:style w:type="character" w:customStyle="1" w:styleId="Carpredefinitoparagrafo8">
    <w:name w:val="Car. predefinito paragrafo8"/>
    <w:rsid w:val="00C94484"/>
  </w:style>
  <w:style w:type="character" w:customStyle="1" w:styleId="WW-Absatz-Standardschriftart111111111">
    <w:name w:val="WW-Absatz-Standardschriftart111111111"/>
    <w:rsid w:val="00C94484"/>
  </w:style>
  <w:style w:type="character" w:customStyle="1" w:styleId="WW-Absatz-Standardschriftart1111111111">
    <w:name w:val="WW-Absatz-Standardschriftart1111111111"/>
    <w:rsid w:val="00C94484"/>
  </w:style>
  <w:style w:type="character" w:customStyle="1" w:styleId="Carpredefinitoparagrafo7">
    <w:name w:val="Car. predefinito paragrafo7"/>
    <w:rsid w:val="00C94484"/>
  </w:style>
  <w:style w:type="character" w:customStyle="1" w:styleId="Carpredefinitoparagrafo6">
    <w:name w:val="Car. predefinito paragrafo6"/>
    <w:rsid w:val="00C94484"/>
  </w:style>
  <w:style w:type="character" w:customStyle="1" w:styleId="WW-Absatz-Standardschriftart11111111111">
    <w:name w:val="WW-Absatz-Standardschriftart11111111111"/>
    <w:rsid w:val="00C94484"/>
  </w:style>
  <w:style w:type="character" w:customStyle="1" w:styleId="Carpredefinitoparagrafo5">
    <w:name w:val="Car. predefinito paragrafo5"/>
    <w:rsid w:val="00C94484"/>
  </w:style>
  <w:style w:type="character" w:customStyle="1" w:styleId="WW-Absatz-Standardschriftart111111111111">
    <w:name w:val="WW-Absatz-Standardschriftart111111111111"/>
    <w:rsid w:val="00C94484"/>
  </w:style>
  <w:style w:type="character" w:customStyle="1" w:styleId="WW-Absatz-Standardschriftart1111111111111">
    <w:name w:val="WW-Absatz-Standardschriftart1111111111111"/>
    <w:rsid w:val="00C94484"/>
  </w:style>
  <w:style w:type="character" w:customStyle="1" w:styleId="Carpredefinitoparagrafo4">
    <w:name w:val="Car. predefinito paragrafo4"/>
    <w:rsid w:val="00C94484"/>
  </w:style>
  <w:style w:type="character" w:customStyle="1" w:styleId="WW-Absatz-Standardschriftart11111111111111">
    <w:name w:val="WW-Absatz-Standardschriftart11111111111111"/>
    <w:rsid w:val="00C94484"/>
  </w:style>
  <w:style w:type="character" w:customStyle="1" w:styleId="WW-Absatz-Standardschriftart111111111111111">
    <w:name w:val="WW-Absatz-Standardschriftart111111111111111"/>
    <w:rsid w:val="00C94484"/>
  </w:style>
  <w:style w:type="character" w:customStyle="1" w:styleId="WW-Absatz-Standardschriftart1111111111111111">
    <w:name w:val="WW-Absatz-Standardschriftart1111111111111111"/>
    <w:rsid w:val="00C94484"/>
  </w:style>
  <w:style w:type="character" w:customStyle="1" w:styleId="Carpredefinitoparagrafo3">
    <w:name w:val="Car. predefinito paragrafo3"/>
    <w:rsid w:val="00C94484"/>
  </w:style>
  <w:style w:type="character" w:customStyle="1" w:styleId="WW8Num2z2">
    <w:name w:val="WW8Num2z2"/>
    <w:rsid w:val="00C94484"/>
    <w:rPr>
      <w:rFonts w:ascii="Wingdings" w:hAnsi="Wingdings"/>
    </w:rPr>
  </w:style>
  <w:style w:type="character" w:customStyle="1" w:styleId="WW8Num3z1">
    <w:name w:val="WW8Num3z1"/>
    <w:rsid w:val="00C94484"/>
    <w:rPr>
      <w:rFonts w:ascii="Courier New" w:hAnsi="Courier New"/>
    </w:rPr>
  </w:style>
  <w:style w:type="character" w:customStyle="1" w:styleId="WW8Num3z2">
    <w:name w:val="WW8Num3z2"/>
    <w:rsid w:val="00C94484"/>
    <w:rPr>
      <w:rFonts w:ascii="Wingdings" w:hAnsi="Wingdings"/>
    </w:rPr>
  </w:style>
  <w:style w:type="character" w:customStyle="1" w:styleId="WW8Num3z3">
    <w:name w:val="WW8Num3z3"/>
    <w:rsid w:val="00C94484"/>
    <w:rPr>
      <w:rFonts w:ascii="Symbol" w:hAnsi="Symbol"/>
    </w:rPr>
  </w:style>
  <w:style w:type="character" w:customStyle="1" w:styleId="WW8Num5z0">
    <w:name w:val="WW8Num5z0"/>
    <w:rsid w:val="00C94484"/>
    <w:rPr>
      <w:b/>
      <w:sz w:val="28"/>
    </w:rPr>
  </w:style>
  <w:style w:type="character" w:customStyle="1" w:styleId="WW8Num7z0">
    <w:name w:val="WW8Num7z0"/>
    <w:rsid w:val="00C94484"/>
    <w:rPr>
      <w:rFonts w:ascii="Times New Roman" w:hAnsi="Times New Roman"/>
    </w:rPr>
  </w:style>
  <w:style w:type="character" w:customStyle="1" w:styleId="WW8Num8z0">
    <w:name w:val="WW8Num8z0"/>
    <w:rsid w:val="00C94484"/>
    <w:rPr>
      <w:rFonts w:ascii="Times New Roman" w:hAnsi="Times New Roman"/>
    </w:rPr>
  </w:style>
  <w:style w:type="character" w:customStyle="1" w:styleId="WW8Num13z0">
    <w:name w:val="WW8Num13z0"/>
    <w:rsid w:val="00C94484"/>
    <w:rPr>
      <w:rFonts w:ascii="Times New Roman" w:eastAsia="Times New Roman" w:hAnsi="Times New Roman" w:cs="Times New Roman"/>
    </w:rPr>
  </w:style>
  <w:style w:type="character" w:customStyle="1" w:styleId="WW8Num13z1">
    <w:name w:val="WW8Num13z1"/>
    <w:rsid w:val="00C94484"/>
    <w:rPr>
      <w:rFonts w:ascii="Courier New" w:hAnsi="Courier New" w:cs="Courier New"/>
    </w:rPr>
  </w:style>
  <w:style w:type="character" w:customStyle="1" w:styleId="WW8Num13z2">
    <w:name w:val="WW8Num13z2"/>
    <w:rsid w:val="00C94484"/>
    <w:rPr>
      <w:rFonts w:ascii="Wingdings" w:hAnsi="Wingdings"/>
    </w:rPr>
  </w:style>
  <w:style w:type="character" w:customStyle="1" w:styleId="WW8Num13z3">
    <w:name w:val="WW8Num13z3"/>
    <w:rsid w:val="00C94484"/>
    <w:rPr>
      <w:rFonts w:ascii="Symbol" w:hAnsi="Symbol"/>
    </w:rPr>
  </w:style>
  <w:style w:type="character" w:customStyle="1" w:styleId="Caratterepredefinitoparagrafo">
    <w:name w:val="Carattere predefinito paragrafo"/>
    <w:rsid w:val="00C94484"/>
  </w:style>
  <w:style w:type="character" w:styleId="Collegamentoipertestuale">
    <w:name w:val="Hyperlink"/>
    <w:basedOn w:val="Caratterepredefinitoparagrafo"/>
    <w:rsid w:val="00C94484"/>
    <w:rPr>
      <w:color w:val="0000FF"/>
      <w:u w:val="single"/>
    </w:rPr>
  </w:style>
  <w:style w:type="paragraph" w:customStyle="1" w:styleId="Intestazione9">
    <w:name w:val="Intestazione9"/>
    <w:basedOn w:val="Normale"/>
    <w:next w:val="Corpodeltesto"/>
    <w:rsid w:val="00C94484"/>
    <w:pPr>
      <w:keepNext/>
      <w:spacing w:before="240" w:after="120" w:line="240" w:lineRule="auto"/>
    </w:pPr>
    <w:rPr>
      <w:rFonts w:ascii="Arial" w:eastAsia="SimSun" w:hAnsi="Arial" w:cs="Mangal"/>
      <w:sz w:val="28"/>
      <w:szCs w:val="28"/>
    </w:rPr>
  </w:style>
  <w:style w:type="character" w:customStyle="1" w:styleId="CorpodeltestoCarattere">
    <w:name w:val="Corpo del testo Carattere"/>
    <w:basedOn w:val="Carpredefinitoparagrafo"/>
    <w:link w:val="Corpodeltesto"/>
    <w:rsid w:val="00C94484"/>
    <w:rPr>
      <w:rFonts w:ascii="Calibri" w:eastAsia="Calibri" w:hAnsi="Calibri" w:cs="Calibri"/>
      <w:sz w:val="22"/>
      <w:szCs w:val="22"/>
      <w:lang w:eastAsia="ar-SA"/>
    </w:rPr>
  </w:style>
  <w:style w:type="paragraph" w:customStyle="1" w:styleId="Didascalia9">
    <w:name w:val="Didascalia9"/>
    <w:basedOn w:val="Normale"/>
    <w:rsid w:val="00C94484"/>
    <w:pPr>
      <w:suppressLineNumbers/>
      <w:spacing w:before="120" w:after="120" w:line="240" w:lineRule="auto"/>
    </w:pPr>
    <w:rPr>
      <w:rFonts w:ascii="Times New Roman" w:eastAsia="Times New Roman" w:hAnsi="Times New Roman" w:cs="Mangal"/>
      <w:i/>
      <w:iCs/>
      <w:sz w:val="24"/>
      <w:szCs w:val="24"/>
    </w:rPr>
  </w:style>
  <w:style w:type="paragraph" w:customStyle="1" w:styleId="Intestazione8">
    <w:name w:val="Intestazione8"/>
    <w:basedOn w:val="Normale"/>
    <w:next w:val="Corpodeltesto"/>
    <w:rsid w:val="00C94484"/>
    <w:pPr>
      <w:keepNext/>
      <w:spacing w:before="240" w:after="120" w:line="240" w:lineRule="auto"/>
    </w:pPr>
    <w:rPr>
      <w:rFonts w:ascii="Arial" w:eastAsia="SimSun" w:hAnsi="Arial" w:cs="Mangal"/>
      <w:sz w:val="28"/>
      <w:szCs w:val="28"/>
    </w:rPr>
  </w:style>
  <w:style w:type="paragraph" w:customStyle="1" w:styleId="Didascalia8">
    <w:name w:val="Didascalia8"/>
    <w:basedOn w:val="Normale"/>
    <w:rsid w:val="00C94484"/>
    <w:pPr>
      <w:suppressLineNumbers/>
      <w:spacing w:before="120" w:after="120" w:line="240" w:lineRule="auto"/>
    </w:pPr>
    <w:rPr>
      <w:rFonts w:ascii="Times New Roman" w:eastAsia="Times New Roman" w:hAnsi="Times New Roman" w:cs="Mangal"/>
      <w:i/>
      <w:iCs/>
      <w:sz w:val="24"/>
      <w:szCs w:val="24"/>
    </w:rPr>
  </w:style>
  <w:style w:type="paragraph" w:customStyle="1" w:styleId="Intestazione7">
    <w:name w:val="Intestazione7"/>
    <w:basedOn w:val="Normale"/>
    <w:next w:val="Corpodeltesto"/>
    <w:rsid w:val="00C94484"/>
    <w:pPr>
      <w:keepNext/>
      <w:spacing w:before="240" w:after="120" w:line="240" w:lineRule="auto"/>
    </w:pPr>
    <w:rPr>
      <w:rFonts w:ascii="Arial" w:eastAsia="SimSun" w:hAnsi="Arial" w:cs="Tahoma"/>
      <w:sz w:val="28"/>
      <w:szCs w:val="28"/>
    </w:rPr>
  </w:style>
  <w:style w:type="paragraph" w:customStyle="1" w:styleId="Didascalia7">
    <w:name w:val="Didascalia7"/>
    <w:basedOn w:val="Normale"/>
    <w:rsid w:val="00C94484"/>
    <w:pPr>
      <w:suppressLineNumbers/>
      <w:spacing w:before="120" w:after="120" w:line="240" w:lineRule="auto"/>
    </w:pPr>
    <w:rPr>
      <w:rFonts w:ascii="Times New Roman" w:eastAsia="Times New Roman" w:hAnsi="Times New Roman" w:cs="Tahoma"/>
      <w:i/>
      <w:iCs/>
      <w:sz w:val="24"/>
      <w:szCs w:val="24"/>
    </w:rPr>
  </w:style>
  <w:style w:type="paragraph" w:customStyle="1" w:styleId="Intestazione6">
    <w:name w:val="Intestazione6"/>
    <w:basedOn w:val="Normale"/>
    <w:next w:val="Corpodeltesto"/>
    <w:rsid w:val="00C94484"/>
    <w:pPr>
      <w:keepNext/>
      <w:spacing w:before="240" w:after="120" w:line="240" w:lineRule="auto"/>
    </w:pPr>
    <w:rPr>
      <w:rFonts w:ascii="Arial" w:eastAsia="SimSun" w:hAnsi="Arial" w:cs="Tahoma"/>
      <w:sz w:val="28"/>
      <w:szCs w:val="28"/>
    </w:rPr>
  </w:style>
  <w:style w:type="paragraph" w:customStyle="1" w:styleId="Didascalia6">
    <w:name w:val="Didascalia6"/>
    <w:basedOn w:val="Normale"/>
    <w:rsid w:val="00C94484"/>
    <w:pPr>
      <w:suppressLineNumbers/>
      <w:spacing w:before="120" w:after="120" w:line="240" w:lineRule="auto"/>
    </w:pPr>
    <w:rPr>
      <w:rFonts w:ascii="Times New Roman" w:eastAsia="Times New Roman" w:hAnsi="Times New Roman" w:cs="Tahoma"/>
      <w:i/>
      <w:iCs/>
      <w:sz w:val="24"/>
      <w:szCs w:val="24"/>
    </w:rPr>
  </w:style>
  <w:style w:type="paragraph" w:customStyle="1" w:styleId="Intestazione5">
    <w:name w:val="Intestazione5"/>
    <w:basedOn w:val="Normale"/>
    <w:next w:val="Corpodeltesto"/>
    <w:rsid w:val="00C94484"/>
    <w:pPr>
      <w:keepNext/>
      <w:spacing w:before="240" w:after="120" w:line="240" w:lineRule="auto"/>
    </w:pPr>
    <w:rPr>
      <w:rFonts w:ascii="Arial" w:eastAsia="SimSun" w:hAnsi="Arial" w:cs="Tahoma"/>
      <w:sz w:val="28"/>
      <w:szCs w:val="28"/>
    </w:rPr>
  </w:style>
  <w:style w:type="paragraph" w:customStyle="1" w:styleId="Didascalia5">
    <w:name w:val="Didascalia5"/>
    <w:basedOn w:val="Normale"/>
    <w:rsid w:val="00C94484"/>
    <w:pPr>
      <w:suppressLineNumbers/>
      <w:spacing w:before="120" w:after="120" w:line="240" w:lineRule="auto"/>
    </w:pPr>
    <w:rPr>
      <w:rFonts w:ascii="Times New Roman" w:eastAsia="Times New Roman" w:hAnsi="Times New Roman" w:cs="Tahoma"/>
      <w:i/>
      <w:iCs/>
      <w:sz w:val="24"/>
      <w:szCs w:val="24"/>
    </w:rPr>
  </w:style>
  <w:style w:type="paragraph" w:customStyle="1" w:styleId="Intestazione4">
    <w:name w:val="Intestazione4"/>
    <w:basedOn w:val="Normale"/>
    <w:next w:val="Corpodeltesto"/>
    <w:rsid w:val="00C94484"/>
    <w:pPr>
      <w:keepNext/>
      <w:spacing w:before="240" w:after="120" w:line="240" w:lineRule="auto"/>
    </w:pPr>
    <w:rPr>
      <w:rFonts w:ascii="Arial" w:eastAsia="SimSun" w:hAnsi="Arial" w:cs="Tahoma"/>
      <w:sz w:val="28"/>
      <w:szCs w:val="28"/>
    </w:rPr>
  </w:style>
  <w:style w:type="paragraph" w:customStyle="1" w:styleId="Didascalia4">
    <w:name w:val="Didascalia4"/>
    <w:basedOn w:val="Normale"/>
    <w:rsid w:val="00C94484"/>
    <w:pPr>
      <w:suppressLineNumbers/>
      <w:spacing w:before="120" w:after="120" w:line="240" w:lineRule="auto"/>
    </w:pPr>
    <w:rPr>
      <w:rFonts w:ascii="Times New Roman" w:eastAsia="Times New Roman" w:hAnsi="Times New Roman" w:cs="Tahoma"/>
      <w:i/>
      <w:iCs/>
      <w:sz w:val="24"/>
      <w:szCs w:val="24"/>
    </w:rPr>
  </w:style>
  <w:style w:type="paragraph" w:customStyle="1" w:styleId="Intestazione3">
    <w:name w:val="Intestazione3"/>
    <w:basedOn w:val="Normale"/>
    <w:next w:val="Corpodeltesto"/>
    <w:rsid w:val="00C94484"/>
    <w:pPr>
      <w:keepNext/>
      <w:spacing w:before="240" w:after="120" w:line="240" w:lineRule="auto"/>
    </w:pPr>
    <w:rPr>
      <w:rFonts w:ascii="Arial" w:eastAsia="SimSun" w:hAnsi="Arial" w:cs="Tahoma"/>
      <w:sz w:val="28"/>
      <w:szCs w:val="28"/>
    </w:rPr>
  </w:style>
  <w:style w:type="paragraph" w:customStyle="1" w:styleId="Didascalia3">
    <w:name w:val="Didascalia3"/>
    <w:basedOn w:val="Normale"/>
    <w:rsid w:val="00C94484"/>
    <w:pPr>
      <w:suppressLineNumbers/>
      <w:spacing w:before="120" w:after="120" w:line="240" w:lineRule="auto"/>
    </w:pPr>
    <w:rPr>
      <w:rFonts w:ascii="Times New Roman" w:eastAsia="Times New Roman" w:hAnsi="Times New Roman" w:cs="Tahoma"/>
      <w:i/>
      <w:iCs/>
      <w:sz w:val="24"/>
      <w:szCs w:val="24"/>
    </w:rPr>
  </w:style>
  <w:style w:type="paragraph" w:styleId="Rientrocorpodeltesto">
    <w:name w:val="Body Text Indent"/>
    <w:basedOn w:val="Normale"/>
    <w:link w:val="RientrocorpodeltestoCarattere"/>
    <w:rsid w:val="00C94484"/>
    <w:pPr>
      <w:spacing w:after="0" w:line="240" w:lineRule="auto"/>
      <w:ind w:left="1134" w:hanging="1134"/>
    </w:pPr>
    <w:rPr>
      <w:rFonts w:ascii="Times New Roman" w:eastAsia="Times New Roman" w:hAnsi="Times New Roman" w:cs="Times New Roman"/>
      <w:b/>
      <w:sz w:val="20"/>
      <w:szCs w:val="20"/>
    </w:rPr>
  </w:style>
  <w:style w:type="character" w:customStyle="1" w:styleId="RientrocorpodeltestoCarattere">
    <w:name w:val="Rientro corpo del testo Carattere"/>
    <w:basedOn w:val="Carpredefinitoparagrafo"/>
    <w:link w:val="Rientrocorpodeltesto"/>
    <w:rsid w:val="00C94484"/>
    <w:rPr>
      <w:b/>
      <w:lang w:eastAsia="ar-SA"/>
    </w:rPr>
  </w:style>
  <w:style w:type="paragraph" w:customStyle="1" w:styleId="Rientrocorpodeltesto21">
    <w:name w:val="Rientro corpo del testo 21"/>
    <w:basedOn w:val="Normale"/>
    <w:rsid w:val="00C94484"/>
    <w:pPr>
      <w:spacing w:after="120" w:line="480" w:lineRule="auto"/>
      <w:ind w:left="283"/>
    </w:pPr>
    <w:rPr>
      <w:rFonts w:ascii="Times New Roman" w:eastAsia="Times New Roman" w:hAnsi="Times New Roman" w:cs="Times New Roman"/>
      <w:sz w:val="20"/>
      <w:szCs w:val="20"/>
    </w:rPr>
  </w:style>
  <w:style w:type="paragraph" w:customStyle="1" w:styleId="Rientrocorpodeltesto31">
    <w:name w:val="Rientro corpo del testo 31"/>
    <w:basedOn w:val="Normale"/>
    <w:rsid w:val="00C94484"/>
    <w:pPr>
      <w:spacing w:after="120" w:line="240" w:lineRule="auto"/>
      <w:ind w:left="283"/>
    </w:pPr>
    <w:rPr>
      <w:rFonts w:ascii="Times New Roman" w:eastAsia="Times New Roman" w:hAnsi="Times New Roman" w:cs="Times New Roman"/>
      <w:sz w:val="16"/>
      <w:szCs w:val="16"/>
    </w:rPr>
  </w:style>
  <w:style w:type="paragraph" w:styleId="Testofumetto">
    <w:name w:val="Balloon Text"/>
    <w:basedOn w:val="Normale"/>
    <w:link w:val="TestofumettoCarattere"/>
    <w:rsid w:val="00C94484"/>
    <w:pPr>
      <w:spacing w:after="0" w:line="240" w:lineRule="auto"/>
    </w:pPr>
    <w:rPr>
      <w:rFonts w:ascii="Tahoma" w:eastAsia="Times New Roman" w:hAnsi="Tahoma" w:cs="Tahoma"/>
      <w:sz w:val="16"/>
      <w:szCs w:val="16"/>
    </w:rPr>
  </w:style>
  <w:style w:type="character" w:customStyle="1" w:styleId="TestofumettoCarattere">
    <w:name w:val="Testo fumetto Carattere"/>
    <w:basedOn w:val="Carpredefinitoparagrafo"/>
    <w:link w:val="Testofumetto"/>
    <w:rsid w:val="00C94484"/>
    <w:rPr>
      <w:rFonts w:ascii="Tahoma" w:hAnsi="Tahoma" w:cs="Tahoma"/>
      <w:sz w:val="16"/>
      <w:szCs w:val="16"/>
      <w:lang w:eastAsia="ar-SA"/>
    </w:rPr>
  </w:style>
  <w:style w:type="character" w:customStyle="1" w:styleId="PidipaginaCarattere">
    <w:name w:val="Piè di pagina Carattere"/>
    <w:basedOn w:val="Carpredefinitoparagrafo"/>
    <w:link w:val="Pidipagina"/>
    <w:rsid w:val="00C94484"/>
    <w:rPr>
      <w:rFonts w:ascii="Calibri" w:eastAsia="Calibri" w:hAnsi="Calibri" w:cs="Calibri"/>
      <w:sz w:val="22"/>
      <w:szCs w:val="22"/>
      <w:lang w:eastAsia="ar-SA"/>
    </w:rPr>
  </w:style>
  <w:style w:type="character" w:customStyle="1" w:styleId="IntestazioneCarattere">
    <w:name w:val="Intestazione Carattere"/>
    <w:basedOn w:val="Carpredefinitoparagrafo"/>
    <w:link w:val="Intestazione"/>
    <w:rsid w:val="00C94484"/>
    <w:rPr>
      <w:sz w:val="24"/>
      <w:szCs w:val="24"/>
      <w:lang w:eastAsia="ar-SA"/>
    </w:rPr>
  </w:style>
  <w:style w:type="paragraph" w:styleId="NormaleWeb">
    <w:name w:val="Normal (Web)"/>
    <w:basedOn w:val="Normale"/>
    <w:rsid w:val="00C94484"/>
    <w:pPr>
      <w:spacing w:before="100" w:after="100" w:line="240" w:lineRule="auto"/>
    </w:pPr>
    <w:rPr>
      <w:rFonts w:ascii="Times New Roman" w:eastAsia="Times New Roman" w:hAnsi="Times New Roman" w:cs="Times New Roman"/>
      <w:sz w:val="24"/>
      <w:szCs w:val="24"/>
    </w:rPr>
  </w:style>
  <w:style w:type="paragraph" w:customStyle="1" w:styleId="Contenutocornice">
    <w:name w:val="Contenuto cornice"/>
    <w:basedOn w:val="Corpodeltesto"/>
    <w:rsid w:val="00C94484"/>
    <w:pPr>
      <w:spacing w:after="0" w:line="360" w:lineRule="auto"/>
      <w:jc w:val="both"/>
    </w:pPr>
    <w:rPr>
      <w:rFonts w:ascii="Times New Roman" w:eastAsia="Times New Roman" w:hAnsi="Times New Roman" w:cs="Times New Roman"/>
      <w:sz w:val="20"/>
      <w:szCs w:val="20"/>
    </w:rPr>
  </w:style>
  <w:style w:type="paragraph" w:customStyle="1" w:styleId="Narrativa">
    <w:name w:val="Narrativa"/>
    <w:basedOn w:val="Normale"/>
    <w:rsid w:val="004E062F"/>
    <w:pPr>
      <w:numPr>
        <w:numId w:val="9"/>
      </w:numPr>
      <w:suppressAutoHyphens w:val="0"/>
      <w:spacing w:after="0" w:line="240" w:lineRule="auto"/>
      <w:jc w:val="both"/>
    </w:pPr>
    <w:rPr>
      <w:rFonts w:ascii="Arial" w:eastAsia="Times New Roman" w:hAnsi="Arial" w:cs="Times New Roman"/>
      <w:sz w:val="24"/>
      <w:szCs w:val="24"/>
      <w:lang w:eastAsia="it-IT"/>
    </w:rPr>
  </w:style>
</w:styles>
</file>

<file path=word/webSettings.xml><?xml version="1.0" encoding="utf-8"?>
<w:webSettings xmlns:r="http://schemas.openxmlformats.org/officeDocument/2006/relationships" xmlns:w="http://schemas.openxmlformats.org/wordprocessingml/2006/main">
  <w:divs>
    <w:div w:id="80565963">
      <w:bodyDiv w:val="1"/>
      <w:marLeft w:val="0"/>
      <w:marRight w:val="0"/>
      <w:marTop w:val="0"/>
      <w:marBottom w:val="0"/>
      <w:divBdr>
        <w:top w:val="none" w:sz="0" w:space="0" w:color="auto"/>
        <w:left w:val="none" w:sz="0" w:space="0" w:color="auto"/>
        <w:bottom w:val="none" w:sz="0" w:space="0" w:color="auto"/>
        <w:right w:val="none" w:sz="0" w:space="0" w:color="auto"/>
      </w:divBdr>
    </w:div>
    <w:div w:id="82070840">
      <w:bodyDiv w:val="1"/>
      <w:marLeft w:val="0"/>
      <w:marRight w:val="0"/>
      <w:marTop w:val="0"/>
      <w:marBottom w:val="0"/>
      <w:divBdr>
        <w:top w:val="none" w:sz="0" w:space="0" w:color="auto"/>
        <w:left w:val="none" w:sz="0" w:space="0" w:color="auto"/>
        <w:bottom w:val="none" w:sz="0" w:space="0" w:color="auto"/>
        <w:right w:val="none" w:sz="0" w:space="0" w:color="auto"/>
      </w:divBdr>
    </w:div>
    <w:div w:id="108403983">
      <w:bodyDiv w:val="1"/>
      <w:marLeft w:val="0"/>
      <w:marRight w:val="0"/>
      <w:marTop w:val="0"/>
      <w:marBottom w:val="0"/>
      <w:divBdr>
        <w:top w:val="none" w:sz="0" w:space="0" w:color="auto"/>
        <w:left w:val="none" w:sz="0" w:space="0" w:color="auto"/>
        <w:bottom w:val="none" w:sz="0" w:space="0" w:color="auto"/>
        <w:right w:val="none" w:sz="0" w:space="0" w:color="auto"/>
      </w:divBdr>
    </w:div>
    <w:div w:id="332874876">
      <w:bodyDiv w:val="1"/>
      <w:marLeft w:val="0"/>
      <w:marRight w:val="0"/>
      <w:marTop w:val="0"/>
      <w:marBottom w:val="0"/>
      <w:divBdr>
        <w:top w:val="none" w:sz="0" w:space="0" w:color="auto"/>
        <w:left w:val="none" w:sz="0" w:space="0" w:color="auto"/>
        <w:bottom w:val="none" w:sz="0" w:space="0" w:color="auto"/>
        <w:right w:val="none" w:sz="0" w:space="0" w:color="auto"/>
      </w:divBdr>
    </w:div>
    <w:div w:id="489252553">
      <w:bodyDiv w:val="1"/>
      <w:marLeft w:val="0"/>
      <w:marRight w:val="0"/>
      <w:marTop w:val="0"/>
      <w:marBottom w:val="0"/>
      <w:divBdr>
        <w:top w:val="none" w:sz="0" w:space="0" w:color="auto"/>
        <w:left w:val="none" w:sz="0" w:space="0" w:color="auto"/>
        <w:bottom w:val="none" w:sz="0" w:space="0" w:color="auto"/>
        <w:right w:val="none" w:sz="0" w:space="0" w:color="auto"/>
      </w:divBdr>
    </w:div>
    <w:div w:id="848719924">
      <w:bodyDiv w:val="1"/>
      <w:marLeft w:val="0"/>
      <w:marRight w:val="0"/>
      <w:marTop w:val="0"/>
      <w:marBottom w:val="0"/>
      <w:divBdr>
        <w:top w:val="none" w:sz="0" w:space="0" w:color="auto"/>
        <w:left w:val="none" w:sz="0" w:space="0" w:color="auto"/>
        <w:bottom w:val="none" w:sz="0" w:space="0" w:color="auto"/>
        <w:right w:val="none" w:sz="0" w:space="0" w:color="auto"/>
      </w:divBdr>
    </w:div>
    <w:div w:id="941381453">
      <w:bodyDiv w:val="1"/>
      <w:marLeft w:val="0"/>
      <w:marRight w:val="0"/>
      <w:marTop w:val="0"/>
      <w:marBottom w:val="0"/>
      <w:divBdr>
        <w:top w:val="none" w:sz="0" w:space="0" w:color="auto"/>
        <w:left w:val="none" w:sz="0" w:space="0" w:color="auto"/>
        <w:bottom w:val="none" w:sz="0" w:space="0" w:color="auto"/>
        <w:right w:val="none" w:sz="0" w:space="0" w:color="auto"/>
      </w:divBdr>
    </w:div>
    <w:div w:id="966619592">
      <w:bodyDiv w:val="1"/>
      <w:marLeft w:val="0"/>
      <w:marRight w:val="0"/>
      <w:marTop w:val="0"/>
      <w:marBottom w:val="0"/>
      <w:divBdr>
        <w:top w:val="none" w:sz="0" w:space="0" w:color="auto"/>
        <w:left w:val="none" w:sz="0" w:space="0" w:color="auto"/>
        <w:bottom w:val="none" w:sz="0" w:space="0" w:color="auto"/>
        <w:right w:val="none" w:sz="0" w:space="0" w:color="auto"/>
      </w:divBdr>
    </w:div>
    <w:div w:id="1267351387">
      <w:bodyDiv w:val="1"/>
      <w:marLeft w:val="0"/>
      <w:marRight w:val="0"/>
      <w:marTop w:val="0"/>
      <w:marBottom w:val="0"/>
      <w:divBdr>
        <w:top w:val="none" w:sz="0" w:space="0" w:color="auto"/>
        <w:left w:val="none" w:sz="0" w:space="0" w:color="auto"/>
        <w:bottom w:val="none" w:sz="0" w:space="0" w:color="auto"/>
        <w:right w:val="none" w:sz="0" w:space="0" w:color="auto"/>
      </w:divBdr>
    </w:div>
    <w:div w:id="1419404421">
      <w:bodyDiv w:val="1"/>
      <w:marLeft w:val="0"/>
      <w:marRight w:val="0"/>
      <w:marTop w:val="0"/>
      <w:marBottom w:val="0"/>
      <w:divBdr>
        <w:top w:val="none" w:sz="0" w:space="0" w:color="auto"/>
        <w:left w:val="none" w:sz="0" w:space="0" w:color="auto"/>
        <w:bottom w:val="none" w:sz="0" w:space="0" w:color="auto"/>
        <w:right w:val="none" w:sz="0" w:space="0" w:color="auto"/>
      </w:divBdr>
    </w:div>
    <w:div w:id="1442605406">
      <w:bodyDiv w:val="1"/>
      <w:marLeft w:val="0"/>
      <w:marRight w:val="0"/>
      <w:marTop w:val="0"/>
      <w:marBottom w:val="0"/>
      <w:divBdr>
        <w:top w:val="none" w:sz="0" w:space="0" w:color="auto"/>
        <w:left w:val="none" w:sz="0" w:space="0" w:color="auto"/>
        <w:bottom w:val="none" w:sz="0" w:space="0" w:color="auto"/>
        <w:right w:val="none" w:sz="0" w:space="0" w:color="auto"/>
      </w:divBdr>
    </w:div>
    <w:div w:id="1662542468">
      <w:bodyDiv w:val="1"/>
      <w:marLeft w:val="0"/>
      <w:marRight w:val="0"/>
      <w:marTop w:val="0"/>
      <w:marBottom w:val="0"/>
      <w:divBdr>
        <w:top w:val="none" w:sz="0" w:space="0" w:color="auto"/>
        <w:left w:val="none" w:sz="0" w:space="0" w:color="auto"/>
        <w:bottom w:val="none" w:sz="0" w:space="0" w:color="auto"/>
        <w:right w:val="none" w:sz="0" w:space="0" w:color="auto"/>
      </w:divBdr>
    </w:div>
    <w:div w:id="166908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image" Target="media/image32.emf"/><Relationship Id="rId21" Type="http://schemas.openxmlformats.org/officeDocument/2006/relationships/image" Target="media/image14.emf"/><Relationship Id="rId34" Type="http://schemas.openxmlformats.org/officeDocument/2006/relationships/image" Target="media/image27.emf"/><Relationship Id="rId42" Type="http://schemas.openxmlformats.org/officeDocument/2006/relationships/image" Target="media/image35.emf"/><Relationship Id="rId47" Type="http://schemas.openxmlformats.org/officeDocument/2006/relationships/image" Target="media/image40.emf"/><Relationship Id="rId50" Type="http://schemas.openxmlformats.org/officeDocument/2006/relationships/image" Target="media/image43.emf"/><Relationship Id="rId55" Type="http://schemas.openxmlformats.org/officeDocument/2006/relationships/image" Target="media/image48.emf"/><Relationship Id="rId63" Type="http://schemas.openxmlformats.org/officeDocument/2006/relationships/image" Target="media/image56.emf"/><Relationship Id="rId68" Type="http://schemas.openxmlformats.org/officeDocument/2006/relationships/image" Target="media/image61.emf"/><Relationship Id="rId76" Type="http://schemas.openxmlformats.org/officeDocument/2006/relationships/image" Target="media/image65.emf"/><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oleObject" Target="embeddings/Foglio_di_lavoro_di_Microsoft_Office_Excel2.xls"/><Relationship Id="rId2" Type="http://schemas.openxmlformats.org/officeDocument/2006/relationships/numbering" Target="numbering.xml"/><Relationship Id="rId16" Type="http://schemas.openxmlformats.org/officeDocument/2006/relationships/image" Target="media/image9.emf"/><Relationship Id="rId29" Type="http://schemas.openxmlformats.org/officeDocument/2006/relationships/image" Target="media/image22.png"/><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image" Target="media/image30.emf"/><Relationship Id="rId40" Type="http://schemas.openxmlformats.org/officeDocument/2006/relationships/image" Target="media/image33.emf"/><Relationship Id="rId45" Type="http://schemas.openxmlformats.org/officeDocument/2006/relationships/image" Target="media/image38.emf"/><Relationship Id="rId53" Type="http://schemas.openxmlformats.org/officeDocument/2006/relationships/image" Target="media/image46.emf"/><Relationship Id="rId58" Type="http://schemas.openxmlformats.org/officeDocument/2006/relationships/image" Target="media/image51.emf"/><Relationship Id="rId66" Type="http://schemas.openxmlformats.org/officeDocument/2006/relationships/image" Target="media/image59.emf"/><Relationship Id="rId74" Type="http://schemas.openxmlformats.org/officeDocument/2006/relationships/image" Target="media/image64.emf"/><Relationship Id="rId79" Type="http://schemas.openxmlformats.org/officeDocument/2006/relationships/package" Target="embeddings/Cartella_di_lavoro_di_Microsoft_Office_Excel_20071.xlsx"/><Relationship Id="rId5" Type="http://schemas.openxmlformats.org/officeDocument/2006/relationships/webSettings" Target="webSettings.xml"/><Relationship Id="rId61" Type="http://schemas.openxmlformats.org/officeDocument/2006/relationships/image" Target="media/image54.emf"/><Relationship Id="rId82" Type="http://schemas.openxmlformats.org/officeDocument/2006/relationships/footer" Target="footer1.xml"/><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png"/><Relationship Id="rId30" Type="http://schemas.openxmlformats.org/officeDocument/2006/relationships/image" Target="media/image23.emf"/><Relationship Id="rId35" Type="http://schemas.openxmlformats.org/officeDocument/2006/relationships/image" Target="media/image28.emf"/><Relationship Id="rId43" Type="http://schemas.openxmlformats.org/officeDocument/2006/relationships/image" Target="media/image36.emf"/><Relationship Id="rId48" Type="http://schemas.openxmlformats.org/officeDocument/2006/relationships/image" Target="media/image41.emf"/><Relationship Id="rId56" Type="http://schemas.openxmlformats.org/officeDocument/2006/relationships/image" Target="media/image49.emf"/><Relationship Id="rId64" Type="http://schemas.openxmlformats.org/officeDocument/2006/relationships/image" Target="media/image57.emf"/><Relationship Id="rId69" Type="http://schemas.openxmlformats.org/officeDocument/2006/relationships/oleObject" Target="embeddings/Foglio_di_lavoro_di_Microsoft_Office_Excel1.xls"/><Relationship Id="rId77" Type="http://schemas.openxmlformats.org/officeDocument/2006/relationships/oleObject" Target="embeddings/Foglio_di_lavoro_di_Microsoft_Office_Excel5.xls"/><Relationship Id="rId8" Type="http://schemas.openxmlformats.org/officeDocument/2006/relationships/image" Target="media/image1.emf"/><Relationship Id="rId51" Type="http://schemas.openxmlformats.org/officeDocument/2006/relationships/image" Target="media/image44.emf"/><Relationship Id="rId72" Type="http://schemas.openxmlformats.org/officeDocument/2006/relationships/image" Target="media/image63.wmf"/><Relationship Id="rId80" Type="http://schemas.openxmlformats.org/officeDocument/2006/relationships/image" Target="media/image67.emf"/><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image" Target="media/image26.emf"/><Relationship Id="rId38" Type="http://schemas.openxmlformats.org/officeDocument/2006/relationships/image" Target="media/image31.emf"/><Relationship Id="rId46" Type="http://schemas.openxmlformats.org/officeDocument/2006/relationships/image" Target="media/image39.emf"/><Relationship Id="rId59" Type="http://schemas.openxmlformats.org/officeDocument/2006/relationships/image" Target="media/image52.emf"/><Relationship Id="rId67" Type="http://schemas.openxmlformats.org/officeDocument/2006/relationships/image" Target="media/image60.emf"/><Relationship Id="rId20" Type="http://schemas.openxmlformats.org/officeDocument/2006/relationships/image" Target="media/image13.emf"/><Relationship Id="rId41" Type="http://schemas.openxmlformats.org/officeDocument/2006/relationships/image" Target="media/image34.emf"/><Relationship Id="rId54" Type="http://schemas.openxmlformats.org/officeDocument/2006/relationships/image" Target="media/image47.emf"/><Relationship Id="rId62" Type="http://schemas.openxmlformats.org/officeDocument/2006/relationships/image" Target="media/image55.emf"/><Relationship Id="rId70" Type="http://schemas.openxmlformats.org/officeDocument/2006/relationships/image" Target="media/image62.emf"/><Relationship Id="rId75" Type="http://schemas.openxmlformats.org/officeDocument/2006/relationships/oleObject" Target="embeddings/Foglio_di_lavoro_di_Microsoft_Office_Excel4.xls"/><Relationship Id="rId83"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png"/><Relationship Id="rId36" Type="http://schemas.openxmlformats.org/officeDocument/2006/relationships/image" Target="media/image29.emf"/><Relationship Id="rId49" Type="http://schemas.openxmlformats.org/officeDocument/2006/relationships/image" Target="media/image42.emf"/><Relationship Id="rId57" Type="http://schemas.openxmlformats.org/officeDocument/2006/relationships/image" Target="media/image50.emf"/><Relationship Id="rId10" Type="http://schemas.openxmlformats.org/officeDocument/2006/relationships/image" Target="media/image3.emf"/><Relationship Id="rId31" Type="http://schemas.openxmlformats.org/officeDocument/2006/relationships/image" Target="media/image24.emf"/><Relationship Id="rId44" Type="http://schemas.openxmlformats.org/officeDocument/2006/relationships/image" Target="media/image37.emf"/><Relationship Id="rId52" Type="http://schemas.openxmlformats.org/officeDocument/2006/relationships/image" Target="media/image45.emf"/><Relationship Id="rId60" Type="http://schemas.openxmlformats.org/officeDocument/2006/relationships/image" Target="media/image53.emf"/><Relationship Id="rId65" Type="http://schemas.openxmlformats.org/officeDocument/2006/relationships/image" Target="media/image58.emf"/><Relationship Id="rId73" Type="http://schemas.openxmlformats.org/officeDocument/2006/relationships/oleObject" Target="embeddings/Foglio_di_lavoro_di_Microsoft_Office_Excel3.xls"/><Relationship Id="rId78" Type="http://schemas.openxmlformats.org/officeDocument/2006/relationships/image" Target="media/image66.emf"/><Relationship Id="rId81" Type="http://schemas.openxmlformats.org/officeDocument/2006/relationships/package" Target="embeddings/Cartella_di_lavoro_di_Microsoft_Office_Excel_20072.xlsx"/></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F87318-1C21-43F7-A221-09481A51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10644</Words>
  <Characters>60674</Characters>
  <Application>Microsoft Office Word</Application>
  <DocSecurity>0</DocSecurity>
  <Lines>505</Lines>
  <Paragraphs>142</Paragraphs>
  <ScaleCrop>false</ScaleCrop>
  <HeadingPairs>
    <vt:vector size="2" baseType="variant">
      <vt:variant>
        <vt:lpstr>Titolo</vt:lpstr>
      </vt:variant>
      <vt:variant>
        <vt:i4>1</vt:i4>
      </vt:variant>
    </vt:vector>
  </HeadingPairs>
  <TitlesOfParts>
    <vt:vector size="1" baseType="lpstr">
      <vt:lpstr>PREMESSA</vt:lpstr>
    </vt:vector>
  </TitlesOfParts>
  <Company/>
  <LinksUpToDate>false</LinksUpToDate>
  <CharactersWithSpaces>71176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PREMESSA</dc:title>
  <dc:creator>antonella.sanna</dc:creator>
  <cp:lastModifiedBy>Utente</cp:lastModifiedBy>
  <cp:revision>4</cp:revision>
  <cp:lastPrinted>2012-07-20T11:07:00Z</cp:lastPrinted>
  <dcterms:created xsi:type="dcterms:W3CDTF">2012-07-03T06:56:00Z</dcterms:created>
  <dcterms:modified xsi:type="dcterms:W3CDTF">2012-07-20T11:13:00Z</dcterms:modified>
</cp:coreProperties>
</file>